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CA54AE">
      <w:pPr>
        <w:jc w:val="center"/>
        <w:rPr>
          <w:rFonts w:ascii="黑体" w:hAnsi="宋体" w:eastAsia="黑体"/>
          <w:color w:val="000000"/>
          <w:sz w:val="36"/>
          <w:szCs w:val="36"/>
        </w:rPr>
      </w:pPr>
      <w:r>
        <w:rPr>
          <w:rFonts w:hint="eastAsia" w:ascii="黑体" w:hAnsi="宋体" w:eastAsia="黑体"/>
          <w:b/>
          <w:color w:val="000000"/>
          <w:sz w:val="36"/>
          <w:szCs w:val="36"/>
        </w:rPr>
        <w:t>柳州市标准技术协会团体标准</w:t>
      </w:r>
      <w:r>
        <w:rPr>
          <w:rFonts w:ascii="黑体" w:hAnsi="宋体" w:eastAsia="黑体"/>
          <w:b/>
          <w:color w:val="000000"/>
          <w:sz w:val="36"/>
          <w:szCs w:val="36"/>
        </w:rPr>
        <w:t>《</w:t>
      </w:r>
      <w:r>
        <w:rPr>
          <w:rFonts w:hint="eastAsia" w:ascii="黑体" w:hAnsi="宋体" w:eastAsia="黑体"/>
          <w:b/>
          <w:color w:val="000000"/>
          <w:sz w:val="36"/>
          <w:szCs w:val="36"/>
        </w:rPr>
        <w:t>农村公路管理信息平台应用管理规范</w:t>
      </w:r>
      <w:r>
        <w:rPr>
          <w:rFonts w:ascii="黑体" w:hAnsi="宋体" w:eastAsia="黑体"/>
          <w:b/>
          <w:color w:val="000000"/>
          <w:sz w:val="36"/>
          <w:szCs w:val="36"/>
        </w:rPr>
        <w:t>》</w:t>
      </w:r>
      <w:r>
        <w:rPr>
          <w:rFonts w:hint="eastAsia" w:ascii="黑体" w:hAnsi="宋体" w:eastAsia="黑体"/>
          <w:b/>
          <w:color w:val="000000"/>
          <w:sz w:val="36"/>
          <w:szCs w:val="36"/>
        </w:rPr>
        <w:t>（征求意见稿）编制说明</w:t>
      </w:r>
    </w:p>
    <w:p w14:paraId="15BEDAC9">
      <w:pPr>
        <w:jc w:val="center"/>
        <w:rPr>
          <w:rFonts w:ascii="宋体" w:hAnsi="宋体"/>
          <w:b/>
          <w:color w:val="000000"/>
          <w:sz w:val="32"/>
          <w:szCs w:val="32"/>
        </w:rPr>
      </w:pPr>
    </w:p>
    <w:p w14:paraId="5C460F43">
      <w:pPr>
        <w:autoSpaceDE w:val="0"/>
        <w:autoSpaceDN w:val="0"/>
        <w:adjustRightInd w:val="0"/>
        <w:ind w:firstLine="560" w:firstLineChars="200"/>
        <w:jc w:val="left"/>
        <w:outlineLvl w:val="0"/>
        <w:rPr>
          <w:rFonts w:ascii="黑体" w:hAnsi="黑体" w:eastAsia="黑体" w:cs="仿宋_GB2312"/>
          <w:sz w:val="28"/>
          <w:szCs w:val="28"/>
        </w:rPr>
      </w:pPr>
      <w:r>
        <w:rPr>
          <w:rFonts w:hint="eastAsia" w:ascii="黑体" w:hAnsi="黑体" w:eastAsia="黑体" w:cs="仿宋_GB2312"/>
          <w:sz w:val="28"/>
          <w:szCs w:val="28"/>
        </w:rPr>
        <w:t>一、项目来源</w:t>
      </w:r>
    </w:p>
    <w:p w14:paraId="6F561E98">
      <w:pPr>
        <w:ind w:firstLine="640" w:firstLineChars="200"/>
        <w:rPr>
          <w:rFonts w:hint="default" w:ascii="仿宋_GB2312" w:hAnsi="宋体" w:eastAsia="仿宋_GB2312"/>
          <w:bCs/>
          <w:color w:val="FF0000"/>
          <w:sz w:val="28"/>
          <w:szCs w:val="28"/>
          <w:lang w:val="en-US" w:eastAsia="zh-CN"/>
        </w:rPr>
      </w:pPr>
      <w:r>
        <w:rPr>
          <w:rFonts w:hint="eastAsia" w:ascii="仿宋_GB2312" w:hAnsi="仿宋_GB2312" w:eastAsia="仿宋_GB2312" w:cs="仿宋_GB2312"/>
          <w:color w:val="000000" w:themeColor="text1"/>
          <w:sz w:val="32"/>
          <w:szCs w:val="32"/>
          <w14:textFill>
            <w14:solidFill>
              <w14:schemeClr w14:val="tx1"/>
            </w14:solidFill>
          </w14:textFill>
        </w:rPr>
        <w:t>根据《柳州市市场监督管理局关于下达2023年柳州市地方标准制修订项目计划的函》(柳市监函〔2023〕113号)文，《农村公路管理信息平台应用管理规范》柳州市地方标准由柳州市交通运输局提出，柳州市公路发展中心主导，广西壮族自治区标准技术研究院、国交空间信息技术（北京）有限公司共同参与起草</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标准于2023年12月15日由柳州市市场监督管理局关于批准发布。根据最新国家关于地方标准有关规定要求，现</w:t>
      </w:r>
      <w:bookmarkStart w:id="5" w:name="_GoBack"/>
      <w:bookmarkEnd w:id="5"/>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转化为团体标准。</w:t>
      </w:r>
    </w:p>
    <w:p w14:paraId="735D49ED">
      <w:pPr>
        <w:autoSpaceDE w:val="0"/>
        <w:autoSpaceDN w:val="0"/>
        <w:adjustRightInd w:val="0"/>
        <w:ind w:firstLine="560" w:firstLineChars="200"/>
        <w:jc w:val="left"/>
        <w:outlineLvl w:val="0"/>
        <w:rPr>
          <w:rFonts w:ascii="黑体" w:hAnsi="黑体" w:eastAsia="黑体" w:cs="仿宋_GB2312"/>
          <w:sz w:val="28"/>
          <w:szCs w:val="28"/>
          <w:highlight w:val="yellow"/>
        </w:rPr>
      </w:pPr>
      <w:r>
        <w:rPr>
          <w:rFonts w:hint="eastAsia" w:ascii="黑体" w:hAnsi="黑体" w:eastAsia="黑体" w:cs="仿宋_GB2312"/>
          <w:sz w:val="28"/>
          <w:szCs w:val="28"/>
        </w:rPr>
        <w:t>二、项目背景及目的意义</w:t>
      </w:r>
    </w:p>
    <w:p w14:paraId="5FEED099">
      <w:pPr>
        <w:ind w:firstLine="640" w:firstLineChars="20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（一）必要性</w:t>
      </w:r>
    </w:p>
    <w:p w14:paraId="61678BAF">
      <w:pPr>
        <w:ind w:firstLine="640" w:firstLineChars="20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农村公路是公路交通网的重要组成部分，是沟通社会经济中心、农产品集散地和生产基地的桥梁，是直接服务于农民生活和农村经济的主要基础设施，对促进区域经济发展、推动农村社会进步、提高农民生活水平等各个方面的发展具有重大意义。随着我国公路信息化建设的快速发展，农村公路建设中也提出了信息化的要求，因此开展农村公路管理信息平台方面的标准化研究十分必要。</w:t>
      </w:r>
    </w:p>
    <w:p w14:paraId="397F74E7">
      <w:pPr>
        <w:ind w:firstLine="640" w:firstLineChars="20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本项目旨在通过明确各层级部门的职责分工，规范柳州市智慧农村公路信息平台的使用权责，通过标准化手段有效的管理信息平台用使用流程，确保农村公路信息化建设形成闭环，保障农村公路管理工作的效率和工作质量，促进农村公路信息化建设的健康发展，从而进一步加强全市农村公路建、管、养等业务信息化管理水平。</w:t>
      </w:r>
    </w:p>
    <w:p w14:paraId="128843F5">
      <w:pPr>
        <w:ind w:firstLine="640" w:firstLineChars="20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1.政策依据</w:t>
      </w:r>
    </w:p>
    <w:p w14:paraId="3AFAB11D">
      <w:pPr>
        <w:ind w:firstLine="640" w:firstLineChars="20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国家层面：根据《国务院办公厅关于深化农村公路管理养护体制改革的意见》（国办发〔2019〕45号）、《交通运输部关于推进公路数字化转型加快智慧公路建设发展的意见》（交公路发〔2023〕131号）、《关于推动“四好农村路”高质量发展的指导意见》（交公路发〔2019〕96号）、《广西壮族自治区人民政府办公厅关于印发广西深化农村公路管理养护体制改革推动“四好农村路”高质量发展实施方案的通知》（桂政办发（2020）25号）等文件要求，深化农村公路管理养护体制改革，实施农村公路县、乡、村三级“路长制”，建设“四好农村路”，形成“有人养路、有钱养路、有人管路”的工作格局，加快农村公路发展从规模速度型向质量效益型转变，为交通强国建设提供有力支撑，为服务打赢脱贫攻坚战、实施乡村振兴战略和建设现代化经济体系提供坚实的农村交通运输保障。文件明确要求坚持智慧发展，推动运用新技术、新手段赋能农村公路管理养护工作，将信息化管理纳入深化农村公路管理养护体制改革试点推荐主题和内容。</w:t>
      </w:r>
    </w:p>
    <w:p w14:paraId="04F92B06">
      <w:pPr>
        <w:ind w:firstLine="640" w:firstLineChars="20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地方层面：《广西壮族自治区推进交通强国建设试点实施方案（2021—2025年）》中也明确：通过1—2年时间，广西综合交通运输大数据应用平台基础设施建设基本完成，交通运输行业主要数据完成汇聚整合，初步形成数据标准与数据治理体系。通过3—5年时间，推进传统交通基础设施的智慧化升级，实现云计算、大数据、人工智能等新技术在智慧公路、智慧港口、智慧航道、智慧枢纽、智慧铁路等领域的集成示范应用，全面提升综合交通运输行业协同运行效率与创新能力，将广西打造成为全国智慧交通创新发展应用示范区，服务广西交通强区建设。</w:t>
      </w:r>
    </w:p>
    <w:p w14:paraId="3BF60740">
      <w:pPr>
        <w:ind w:firstLine="640" w:firstLineChars="20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2.研究背景</w:t>
      </w:r>
    </w:p>
    <w:p w14:paraId="7C39FC0D">
      <w:pPr>
        <w:ind w:firstLine="640" w:firstLineChars="20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近年来全区路网不断完善，管理的公路数量不断增加，极大的增加了公路管理的工作难度和工作量，公路管理的人力成本也不断提高。为有效加快农村公路发展从规模速度型向质量效益型转变，国家不断加大公路管理信息化投入。但目前仍缺乏针对公路养护管理能力的相关手段，缺乏相关信息化手段来提升对养护管理机构的能力建设和指导，无法有效的实行农村公路管理养护考核机制并将考核结果与相关投资挂钩。同时由于各业务单位的农村公路调查手段主要为地方上报与实地抽查，数据可能存在漏报、虚报，而且实地抽检耗时长且有诸多触不到的“死角”，农村公路管理成为“老大难”问题。于是，由于缺乏真实、准确的农村公路路网数据、缺乏有效的数据审核手段等，为农村公路规划数据、农村公路计划数据、农村公路年报数据等业务数据审核与制作带来极大不便。</w:t>
      </w:r>
    </w:p>
    <w:p w14:paraId="36AA4D3E">
      <w:pPr>
        <w:ind w:firstLine="640" w:firstLineChars="20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大数据、智能化时代的到来，农村公路管养也将迈进智能化、数字化、精准化的新篇章。截至2021年底，我区已有桂林市、贺州市、兴宁区、柳城县、恭城瑶族自治县均实施“路长制”信息化，贺州市积极推行“路长制”信息化管理平台的使用与管理，通过发挥系统的“养护管理”、“路长制”、“工程监管”、“安全隐患”、“灾毁风险普查”作用，提高实现农村公路管理的信息化，柳州市农村公路智慧管理信息平台已建设并运行，并积累了较多的工作经验，开展相关的标准化研究显得十分必要且紧迫。</w:t>
      </w:r>
    </w:p>
    <w:p w14:paraId="4CA0ABA6">
      <w:pPr>
        <w:ind w:firstLine="640" w:firstLineChars="20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（二）目的意义</w:t>
      </w:r>
    </w:p>
    <w:p w14:paraId="43D62BE3">
      <w:pPr>
        <w:ind w:firstLine="640" w:firstLineChars="20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截至2025年12月，柳州市管养农村公路3710条，总里程10446.476公里。2025年，全市计划实施农村公路建设项目671个，建设总里程442公里，实施路面提升（大中修）工程357公里，安防工程隐患处置504公里。柳州市需要管理的农村公路线路长、涉及面广、业务量多。同时农村公路管理信息平台（以下简称“信息平台”）信息平台用户包括市、县、乡、村四级农村公路管理人员，建设及养护单位工作人员，设计监理工作人员以及社会公众等，使用人数多达4000人。信息平台是农村公路管理信息化的载体，是信息化建设的重要环节，如何用好信息平台，充分发挥信息平台的载体用作，如何规范信息采集，提高信息化效率是个值得深入研究的问题，是信息化建设容易忽略的问题。本项目旨在通过明确各层级部门的职责分工，规范信息平台的使用权责，通过标准化手段有效的管理信息平台用使用流程，确保农村公路信息化建设形成闭环，保障农村公路管理工作的效率和工作质量，促进农村公路信息化建设的健康发展，从而进一步加强全市农村公路建、管、养等业务信息化管理水平。《农村公路管理信息平台应用管理规范》柳州市团体标准的研制，可让农村公路管理标准体系更加完善。</w:t>
      </w:r>
    </w:p>
    <w:p w14:paraId="52C5806C">
      <w:pPr>
        <w:autoSpaceDE w:val="0"/>
        <w:autoSpaceDN w:val="0"/>
        <w:adjustRightInd w:val="0"/>
        <w:ind w:firstLine="560" w:firstLineChars="200"/>
        <w:jc w:val="left"/>
        <w:outlineLvl w:val="0"/>
        <w:rPr>
          <w:rFonts w:ascii="黑体" w:hAnsi="黑体" w:eastAsia="黑体" w:cs="仿宋_GB2312"/>
          <w:sz w:val="28"/>
          <w:szCs w:val="28"/>
        </w:rPr>
      </w:pPr>
      <w:r>
        <w:rPr>
          <w:rFonts w:hint="eastAsia" w:ascii="黑体" w:hAnsi="黑体" w:eastAsia="黑体" w:cs="仿宋_GB2312"/>
          <w:sz w:val="28"/>
          <w:szCs w:val="28"/>
        </w:rPr>
        <w:t>三、项目编制过程</w:t>
      </w:r>
    </w:p>
    <w:p w14:paraId="06441773">
      <w:pPr>
        <w:ind w:firstLine="562" w:firstLineChars="200"/>
        <w:outlineLvl w:val="0"/>
        <w:rPr>
          <w:rFonts w:ascii="仿宋_GB2312" w:hAnsi="宋体" w:eastAsia="仿宋_GB2312"/>
          <w:sz w:val="28"/>
          <w:szCs w:val="28"/>
        </w:rPr>
      </w:pPr>
      <w:r>
        <w:rPr>
          <w:rFonts w:hint="eastAsia" w:ascii="仿宋_GB2312" w:hAnsi="仿宋_GB2312" w:eastAsia="仿宋_GB2312" w:cs="仿宋_GB2312"/>
          <w:b/>
          <w:sz w:val="28"/>
          <w:szCs w:val="28"/>
        </w:rPr>
        <w:t>（一）成立标准编制工作组</w:t>
      </w:r>
    </w:p>
    <w:p w14:paraId="5599E1B0">
      <w:pPr>
        <w:ind w:firstLine="640" w:firstLineChars="200"/>
        <w:rPr>
          <w:rFonts w:ascii="仿宋_GB2312" w:hAnsi="宋体" w:eastAsia="仿宋_GB2312"/>
          <w:sz w:val="28"/>
          <w:szCs w:val="28"/>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2022年5月，由柳州市公路发展中心，会同广西壮族自治区标准技术研究院、国交空间信息技术（北京）有限公司成立了标准起草组。小组成员进行了任务分工，并制定了标准起草计划。</w:t>
      </w:r>
    </w:p>
    <w:p w14:paraId="38CE8DDD">
      <w:pPr>
        <w:ind w:firstLine="562" w:firstLineChars="200"/>
        <w:outlineLvl w:val="0"/>
        <w:rPr>
          <w:rFonts w:ascii="仿宋_GB2312" w:hAnsi="仿宋_GB2312" w:eastAsia="仿宋_GB2312" w:cs="仿宋_GB2312"/>
          <w:b/>
          <w:sz w:val="28"/>
          <w:szCs w:val="28"/>
        </w:rPr>
      </w:pPr>
      <w:r>
        <w:rPr>
          <w:rFonts w:hint="eastAsia" w:ascii="仿宋_GB2312" w:hAnsi="仿宋_GB2312" w:eastAsia="仿宋_GB2312" w:cs="仿宋_GB2312"/>
          <w:b/>
          <w:sz w:val="28"/>
          <w:szCs w:val="28"/>
        </w:rPr>
        <w:t>（二）收集整理资料</w:t>
      </w:r>
    </w:p>
    <w:p w14:paraId="1675F715">
      <w:pPr>
        <w:ind w:firstLine="640" w:firstLineChars="200"/>
        <w:rPr>
          <w:rFonts w:hint="eastAsia" w:ascii="仿宋_GB2312" w:hAnsi="仿宋_GB2312" w:eastAsia="仿宋_GB2312" w:cs="仿宋_GB2312"/>
          <w:b/>
          <w:sz w:val="28"/>
          <w:szCs w:val="28"/>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标准起草组对自柳州市农村公路管理信息平台应用情况开展实地调研，广泛查阅、收集。起草组分别到市交通运输局及二层单位、柳城县交通运输局、融水县交通运输局、柳江区交通运输局、百朋镇人民政府、大埔镇人民政府、广西建工集团联合建设有限公司、广西八桂工程监理咨询有限公司、广西一航建设工程有限公司、市大数据局、市国土资源局、市公安局等单位进行了实地调研。标准起草组与信息平台的用户行了深入交流，听取了他们使用信息平台采集、录入信息的情况，收集了信息平台应用管理方面的标准化需求。</w:t>
      </w:r>
    </w:p>
    <w:p w14:paraId="54DE5359">
      <w:pPr>
        <w:ind w:firstLine="562" w:firstLineChars="200"/>
        <w:outlineLvl w:val="0"/>
        <w:rPr>
          <w:rFonts w:ascii="仿宋_GB2312" w:hAnsi="仿宋_GB2312" w:eastAsia="仿宋_GB2312" w:cs="仿宋_GB2312"/>
          <w:b/>
          <w:sz w:val="28"/>
          <w:szCs w:val="28"/>
        </w:rPr>
      </w:pPr>
      <w:r>
        <w:rPr>
          <w:rFonts w:hint="eastAsia" w:ascii="仿宋_GB2312" w:hAnsi="仿宋_GB2312" w:eastAsia="仿宋_GB2312" w:cs="仿宋_GB2312"/>
          <w:b/>
          <w:sz w:val="28"/>
          <w:szCs w:val="28"/>
        </w:rPr>
        <w:t>（三）研讨确定标准主体内容</w:t>
      </w:r>
    </w:p>
    <w:p w14:paraId="62CEE92E">
      <w:pPr>
        <w:ind w:firstLine="640" w:firstLineChars="20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起草组召开信息平台应用研讨会，邀请了行业主管们柳州市交通运输局有关科室负责人员参与讨论。研讨会结合实地调研中了解到的情况及存在的问题，针对信息平台应用需要规范的关键点，确定了标准的技术内容。</w:t>
      </w:r>
    </w:p>
    <w:p w14:paraId="2C2C108E">
      <w:pPr>
        <w:ind w:firstLine="562" w:firstLineChars="200"/>
        <w:outlineLvl w:val="0"/>
        <w:rPr>
          <w:rFonts w:ascii="仿宋_GB2312" w:hAnsi="仿宋_GB2312" w:eastAsia="仿宋_GB2312" w:cs="仿宋_GB2312"/>
          <w:b/>
          <w:sz w:val="28"/>
          <w:szCs w:val="28"/>
        </w:rPr>
      </w:pPr>
      <w:r>
        <w:rPr>
          <w:rFonts w:hint="eastAsia" w:ascii="仿宋_GB2312" w:hAnsi="仿宋_GB2312" w:eastAsia="仿宋_GB2312" w:cs="仿宋_GB2312"/>
          <w:b/>
          <w:sz w:val="28"/>
          <w:szCs w:val="28"/>
        </w:rPr>
        <w:t>（四）调研、形成征求意见稿</w:t>
      </w:r>
    </w:p>
    <w:p w14:paraId="0A1BDC6A">
      <w:pPr>
        <w:ind w:firstLine="640" w:firstLineChars="200"/>
        <w:rPr>
          <w:rFonts w:hint="eastAsia" w:ascii="仿宋_GB2312" w:eastAsia="仿宋_GB2312"/>
          <w:sz w:val="28"/>
          <w:szCs w:val="28"/>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2023年7月，标准起草组根据工作实际反复论证标准内容，从标准的适用范围、引用文件、缩略语、业务流程等标准的技术内容，对讨论稿进行逐条审查，于2023年7月底形成了标准征求意见稿初稿。</w:t>
      </w:r>
    </w:p>
    <w:p w14:paraId="03420807">
      <w:pPr>
        <w:autoSpaceDE w:val="0"/>
        <w:autoSpaceDN w:val="0"/>
        <w:adjustRightInd w:val="0"/>
        <w:ind w:firstLine="640" w:firstLineChars="200"/>
        <w:jc w:val="left"/>
        <w:outlineLvl w:val="0"/>
        <w:rPr>
          <w:rFonts w:ascii="黑体" w:hAnsi="黑体" w:eastAsia="黑体" w:cs="仿宋_GB2312"/>
          <w:sz w:val="32"/>
          <w:szCs w:val="32"/>
        </w:rPr>
      </w:pPr>
      <w:bookmarkStart w:id="0" w:name="_Toc526940083"/>
      <w:r>
        <w:rPr>
          <w:rFonts w:hint="eastAsia" w:ascii="黑体" w:hAnsi="黑体" w:eastAsia="黑体" w:cs="仿宋_GB2312"/>
          <w:sz w:val="32"/>
          <w:szCs w:val="32"/>
        </w:rPr>
        <w:t>四、标准制定原则</w:t>
      </w:r>
      <w:bookmarkEnd w:id="0"/>
    </w:p>
    <w:p w14:paraId="445BD3DF">
      <w:pPr>
        <w:ind w:firstLine="560" w:firstLineChars="200"/>
        <w:rPr>
          <w:rFonts w:ascii="仿宋_GB2312" w:hAnsi="宋体" w:eastAsia="仿宋_GB2312"/>
          <w:sz w:val="28"/>
          <w:szCs w:val="28"/>
        </w:rPr>
      </w:pPr>
      <w:r>
        <w:rPr>
          <w:rFonts w:hint="eastAsia" w:ascii="仿宋_GB2312" w:hAnsi="宋体" w:eastAsia="仿宋_GB2312"/>
          <w:sz w:val="28"/>
          <w:szCs w:val="28"/>
        </w:rPr>
        <w:t>1、实用性原则</w:t>
      </w:r>
    </w:p>
    <w:p w14:paraId="50412107">
      <w:pPr>
        <w:ind w:firstLine="640" w:firstLineChars="20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标准的起草结合了信息平台应用管理的需求，在研制过程中召集相关部门充分讨论了标准内容并严格把关，确保标准文本内容准确与严谨，所制定标准具有良好的实用性。</w:t>
      </w:r>
    </w:p>
    <w:p w14:paraId="5B61ACD9">
      <w:pPr>
        <w:ind w:firstLine="560" w:firstLineChars="200"/>
        <w:outlineLvl w:val="0"/>
        <w:rPr>
          <w:rFonts w:hint="eastAsia" w:ascii="仿宋_GB2312" w:hAnsi="宋体" w:eastAsia="仿宋_GB2312"/>
          <w:sz w:val="28"/>
          <w:szCs w:val="28"/>
        </w:rPr>
      </w:pPr>
      <w:r>
        <w:rPr>
          <w:rFonts w:hint="eastAsia" w:ascii="仿宋_GB2312" w:hAnsi="宋体" w:eastAsia="仿宋_GB2312"/>
          <w:sz w:val="28"/>
          <w:szCs w:val="28"/>
        </w:rPr>
        <w:t>2、协调性原则</w:t>
      </w:r>
    </w:p>
    <w:p w14:paraId="0C5D5215">
      <w:pPr>
        <w:ind w:firstLine="640" w:firstLineChars="200"/>
        <w:rPr>
          <w:rFonts w:hint="eastAsia" w:ascii="仿宋_GB2312" w:hAnsi="宋体" w:eastAsia="仿宋_GB2312"/>
          <w:sz w:val="28"/>
          <w:szCs w:val="28"/>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标准的编制分析了《国务院办公厅关于印发国家政务信息化项目建设管理办法的通知》（国办发〔2019〕57号）、《柳州市人民政府关于印发柳州市政府投资信息化项目管理办法的通知》（柳政规〔2020〕7号）等相关政策要求，及DBJT45T 023.3-2021《四好农村路 第3部分：管理指南》、GB/T 17734-1999 公路信息分类与代码等标准体系的现状和特点，结合广西及柳州市行业主管各部门对信息平台的管理要求，根据农村公路信息平台应用需求制定本标准，标准内容与现行的国家和自治区相关法律法规、政策及行业规章制度保持一致。</w:t>
      </w:r>
    </w:p>
    <w:p w14:paraId="13EE982E">
      <w:pPr>
        <w:ind w:firstLine="560" w:firstLineChars="200"/>
        <w:outlineLvl w:val="0"/>
        <w:rPr>
          <w:rFonts w:ascii="仿宋_GB2312" w:hAnsi="宋体" w:eastAsia="仿宋_GB2312"/>
          <w:sz w:val="28"/>
          <w:szCs w:val="28"/>
        </w:rPr>
      </w:pPr>
      <w:r>
        <w:rPr>
          <w:rFonts w:hint="eastAsia" w:ascii="仿宋_GB2312" w:hAnsi="宋体" w:eastAsia="仿宋_GB2312"/>
          <w:sz w:val="28"/>
          <w:szCs w:val="28"/>
        </w:rPr>
        <w:t>3、规范性原则</w:t>
      </w:r>
    </w:p>
    <w:p w14:paraId="5EF0A8EE">
      <w:pPr>
        <w:ind w:firstLine="640" w:firstLineChars="200"/>
        <w:rPr>
          <w:rFonts w:hint="eastAsia" w:ascii="仿宋_GB2312" w:hAnsi="宋体" w:eastAsia="仿宋_GB2312"/>
          <w:sz w:val="28"/>
          <w:szCs w:val="28"/>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标准的编写格式按GB/T 1.1－2020《标准化工作导则  第1部分：标准化文件的结构和起草规则》给出的规定进行编写。</w:t>
      </w:r>
    </w:p>
    <w:p w14:paraId="22533E83">
      <w:pPr>
        <w:ind w:firstLine="560" w:firstLineChars="200"/>
        <w:outlineLvl w:val="0"/>
        <w:rPr>
          <w:rFonts w:ascii="仿宋_GB2312" w:hAnsi="宋体" w:eastAsia="仿宋_GB2312"/>
          <w:sz w:val="28"/>
          <w:szCs w:val="28"/>
        </w:rPr>
      </w:pPr>
      <w:r>
        <w:rPr>
          <w:rFonts w:hint="eastAsia" w:ascii="仿宋_GB2312" w:hAnsi="宋体" w:eastAsia="仿宋_GB2312"/>
          <w:sz w:val="28"/>
          <w:szCs w:val="28"/>
        </w:rPr>
        <w:t>4、指导性原则</w:t>
      </w:r>
    </w:p>
    <w:p w14:paraId="1B1F81A7">
      <w:pPr>
        <w:ind w:firstLine="640" w:firstLineChars="200"/>
        <w:rPr>
          <w:rFonts w:hint="eastAsia" w:ascii="黑体" w:hAnsi="黑体" w:eastAsia="黑体" w:cs="仿宋_GB2312"/>
          <w:sz w:val="32"/>
          <w:szCs w:val="32"/>
        </w:rPr>
      </w:pPr>
      <w:bookmarkStart w:id="1" w:name="_Toc526940084"/>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标准的起草充分调研了柳州市农村公路信息平台应用管理的现状，参考了DBJT45T 023.1-2021《四好农村路 第1部分：建设指南》、DBJT45T 023.3-2021《四好农村路 第3部分：管理指南》、DBJT45T 023.4-2021《四好农村路 第4部分：养护指南》等国内相关标准等资料，所制定标准具有良好的指导性。</w:t>
      </w:r>
    </w:p>
    <w:p w14:paraId="03D4D2FA">
      <w:pPr>
        <w:autoSpaceDE w:val="0"/>
        <w:autoSpaceDN w:val="0"/>
        <w:adjustRightInd w:val="0"/>
        <w:ind w:firstLine="640" w:firstLineChars="200"/>
        <w:jc w:val="left"/>
        <w:rPr>
          <w:rFonts w:ascii="黑体" w:hAnsi="黑体" w:eastAsia="黑体" w:cs="仿宋_GB2312"/>
          <w:sz w:val="32"/>
          <w:szCs w:val="32"/>
        </w:rPr>
      </w:pPr>
      <w:r>
        <w:rPr>
          <w:rFonts w:hint="eastAsia" w:ascii="黑体" w:hAnsi="黑体" w:eastAsia="黑体" w:cs="仿宋_GB2312"/>
          <w:sz w:val="32"/>
          <w:szCs w:val="32"/>
        </w:rPr>
        <w:t>五、标准主要内容及依据来源</w:t>
      </w:r>
      <w:bookmarkEnd w:id="1"/>
    </w:p>
    <w:p w14:paraId="7B286361">
      <w:pPr>
        <w:pStyle w:val="20"/>
        <w:ind w:firstLine="560"/>
        <w:rPr>
          <w:rFonts w:hint="eastAsia" w:ascii="仿宋_GB2312" w:hAnsi="宋体" w:eastAsia="仿宋_GB2312"/>
          <w:sz w:val="28"/>
          <w:szCs w:val="28"/>
        </w:rPr>
      </w:pPr>
      <w:r>
        <w:rPr>
          <w:rFonts w:hint="eastAsia" w:ascii="仿宋_GB2312" w:hAnsi="宋体" w:eastAsia="仿宋_GB2312"/>
          <w:sz w:val="28"/>
          <w:szCs w:val="28"/>
        </w:rPr>
        <w:t>柳州市标准技术协会团体标准《农村公路管理信息平台应用管理规范》主要章节内容包括：范围</w:t>
      </w:r>
      <w:r>
        <w:rPr>
          <w:rFonts w:hint="eastAsia" w:ascii="仿宋_GB2312" w:hAnsi="宋体" w:eastAsia="仿宋_GB2312"/>
          <w:sz w:val="28"/>
          <w:szCs w:val="28"/>
          <w:lang w:eastAsia="zh-CN"/>
        </w:rPr>
        <w:t>、</w:t>
      </w:r>
      <w:r>
        <w:rPr>
          <w:rFonts w:hint="eastAsia" w:ascii="仿宋_GB2312" w:hAnsi="宋体" w:eastAsia="仿宋_GB2312"/>
          <w:sz w:val="28"/>
          <w:szCs w:val="28"/>
        </w:rPr>
        <w:t>规范性引用文件</w:t>
      </w:r>
      <w:r>
        <w:rPr>
          <w:rFonts w:hint="eastAsia" w:ascii="仿宋_GB2312" w:hAnsi="宋体" w:eastAsia="仿宋_GB2312"/>
          <w:sz w:val="28"/>
          <w:szCs w:val="28"/>
          <w:lang w:eastAsia="zh-CN"/>
        </w:rPr>
        <w:t>、</w:t>
      </w:r>
      <w:r>
        <w:rPr>
          <w:rFonts w:hint="eastAsia" w:ascii="仿宋_GB2312" w:hAnsi="宋体" w:eastAsia="仿宋_GB2312"/>
          <w:sz w:val="28"/>
          <w:szCs w:val="28"/>
        </w:rPr>
        <w:t>术语和定义</w:t>
      </w:r>
      <w:r>
        <w:rPr>
          <w:rFonts w:hint="eastAsia" w:ascii="仿宋_GB2312" w:hAnsi="宋体" w:eastAsia="仿宋_GB2312"/>
          <w:sz w:val="28"/>
          <w:szCs w:val="28"/>
          <w:lang w:eastAsia="zh-CN"/>
        </w:rPr>
        <w:t>、</w:t>
      </w:r>
      <w:r>
        <w:rPr>
          <w:rFonts w:hint="eastAsia" w:ascii="仿宋_GB2312" w:hAnsi="宋体" w:eastAsia="仿宋_GB2312"/>
          <w:sz w:val="28"/>
          <w:szCs w:val="28"/>
        </w:rPr>
        <w:t>总体原则</w:t>
      </w:r>
      <w:r>
        <w:rPr>
          <w:rFonts w:hint="eastAsia" w:ascii="仿宋_GB2312" w:hAnsi="宋体" w:eastAsia="仿宋_GB2312"/>
          <w:sz w:val="28"/>
          <w:szCs w:val="28"/>
          <w:lang w:eastAsia="zh-CN"/>
        </w:rPr>
        <w:t>、</w:t>
      </w:r>
      <w:r>
        <w:rPr>
          <w:rFonts w:hint="eastAsia" w:ascii="仿宋_GB2312" w:hAnsi="宋体" w:eastAsia="仿宋_GB2312"/>
          <w:sz w:val="28"/>
          <w:szCs w:val="28"/>
        </w:rPr>
        <w:t>职责分工</w:t>
      </w:r>
      <w:r>
        <w:rPr>
          <w:rFonts w:hint="eastAsia" w:ascii="仿宋_GB2312" w:hAnsi="宋体" w:eastAsia="仿宋_GB2312"/>
          <w:sz w:val="28"/>
          <w:szCs w:val="28"/>
          <w:lang w:eastAsia="zh-CN"/>
        </w:rPr>
        <w:t>、</w:t>
      </w:r>
      <w:r>
        <w:rPr>
          <w:rFonts w:hint="eastAsia" w:ascii="仿宋_GB2312" w:hAnsi="宋体" w:eastAsia="仿宋_GB2312"/>
          <w:sz w:val="28"/>
          <w:szCs w:val="28"/>
        </w:rPr>
        <w:t>用户管理</w:t>
      </w:r>
      <w:r>
        <w:rPr>
          <w:rFonts w:hint="eastAsia" w:ascii="仿宋_GB2312" w:hAnsi="宋体" w:eastAsia="仿宋_GB2312"/>
          <w:sz w:val="28"/>
          <w:szCs w:val="28"/>
          <w:lang w:eastAsia="zh-CN"/>
        </w:rPr>
        <w:t>、</w:t>
      </w:r>
      <w:r>
        <w:rPr>
          <w:rFonts w:hint="eastAsia" w:ascii="仿宋_GB2312" w:hAnsi="宋体" w:eastAsia="仿宋_GB2312"/>
          <w:sz w:val="28"/>
          <w:szCs w:val="28"/>
        </w:rPr>
        <w:t>信息平台功能应用</w:t>
      </w:r>
      <w:r>
        <w:rPr>
          <w:rFonts w:hint="eastAsia" w:ascii="仿宋_GB2312" w:hAnsi="宋体" w:eastAsia="仿宋_GB2312"/>
          <w:sz w:val="28"/>
          <w:szCs w:val="28"/>
          <w:lang w:eastAsia="zh-CN"/>
        </w:rPr>
        <w:t>、</w:t>
      </w:r>
      <w:r>
        <w:rPr>
          <w:rFonts w:hint="eastAsia" w:ascii="仿宋_GB2312" w:hAnsi="宋体" w:eastAsia="仿宋_GB2312"/>
          <w:sz w:val="28"/>
          <w:szCs w:val="28"/>
        </w:rPr>
        <w:t>安全保障</w:t>
      </w:r>
      <w:r>
        <w:rPr>
          <w:rFonts w:hint="eastAsia" w:ascii="仿宋_GB2312" w:hAnsi="宋体" w:eastAsia="仿宋_GB2312"/>
          <w:sz w:val="28"/>
          <w:szCs w:val="28"/>
          <w:lang w:eastAsia="zh-CN"/>
        </w:rPr>
        <w:t>、</w:t>
      </w:r>
      <w:r>
        <w:rPr>
          <w:rFonts w:hint="eastAsia" w:ascii="仿宋_GB2312" w:hAnsi="宋体" w:eastAsia="仿宋_GB2312"/>
          <w:sz w:val="28"/>
          <w:szCs w:val="28"/>
          <w:lang w:val="en-US" w:eastAsia="zh-CN"/>
        </w:rPr>
        <w:t>附录A。</w:t>
      </w:r>
      <w:r>
        <w:rPr>
          <w:rFonts w:hint="eastAsia" w:ascii="仿宋_GB2312" w:hAnsi="宋体" w:eastAsia="仿宋_GB2312"/>
          <w:sz w:val="28"/>
          <w:szCs w:val="28"/>
        </w:rPr>
        <w:t>标准的主要框架及技术内容见表1。</w:t>
      </w:r>
    </w:p>
    <w:p w14:paraId="7C917390">
      <w:pPr>
        <w:spacing w:line="560" w:lineRule="exact"/>
        <w:ind w:firstLine="600" w:firstLineChars="200"/>
        <w:jc w:val="center"/>
        <w:rPr>
          <w:rFonts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sz w:val="30"/>
          <w:szCs w:val="30"/>
          <w14:textFill>
            <w14:solidFill>
              <w14:schemeClr w14:val="tx1"/>
            </w14:solidFill>
          </w14:textFill>
        </w:rPr>
        <w:t>表1</w:t>
      </w:r>
      <w:r>
        <w:rPr>
          <w:rFonts w:ascii="仿宋_GB2312" w:hAnsi="仿宋_GB2312" w:eastAsia="仿宋_GB2312" w:cs="仿宋_GB2312"/>
          <w:color w:val="000000" w:themeColor="text1"/>
          <w:sz w:val="30"/>
          <w:szCs w:val="30"/>
          <w14:textFill>
            <w14:solidFill>
              <w14:schemeClr w14:val="tx1"/>
            </w14:solidFill>
          </w14:textFill>
        </w:rPr>
        <w:t xml:space="preserve"> </w:t>
      </w:r>
      <w:r>
        <w:rPr>
          <w:rFonts w:hint="eastAsia" w:ascii="仿宋_GB2312" w:hAnsi="仿宋_GB2312" w:eastAsia="仿宋_GB2312" w:cs="仿宋_GB2312"/>
          <w:color w:val="000000" w:themeColor="text1"/>
          <w:sz w:val="30"/>
          <w:szCs w:val="30"/>
          <w14:textFill>
            <w14:solidFill>
              <w14:schemeClr w14:val="tx1"/>
            </w14:solidFill>
          </w14:textFill>
        </w:rPr>
        <w:t>标准主要框架及内容</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9"/>
        <w:gridCol w:w="2593"/>
        <w:gridCol w:w="1543"/>
        <w:gridCol w:w="4071"/>
      </w:tblGrid>
      <w:tr w14:paraId="343C9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581" w:type="pct"/>
            <w:shd w:val="clear" w:color="auto" w:fill="auto"/>
            <w:vAlign w:val="center"/>
          </w:tcPr>
          <w:p w14:paraId="7B6BE8AF">
            <w:pPr>
              <w:spacing w:line="560" w:lineRule="exact"/>
              <w:jc w:val="center"/>
              <w:rPr>
                <w:rFonts w:ascii="黑体" w:hAnsi="黑体" w:eastAsia="黑体" w:cs="仿宋_GB2312"/>
                <w:color w:val="000000" w:themeColor="text1"/>
                <w:sz w:val="28"/>
                <w:szCs w:val="28"/>
                <w14:textFill>
                  <w14:solidFill>
                    <w14:schemeClr w14:val="tx1"/>
                  </w14:solidFill>
                </w14:textFill>
              </w:rPr>
            </w:pPr>
            <w:r>
              <w:rPr>
                <w:rFonts w:hint="eastAsia" w:ascii="黑体" w:hAnsi="黑体" w:eastAsia="黑体" w:cs="仿宋_GB2312"/>
                <w:color w:val="000000" w:themeColor="text1"/>
                <w:sz w:val="28"/>
                <w:szCs w:val="28"/>
                <w14:textFill>
                  <w14:solidFill>
                    <w14:schemeClr w14:val="tx1"/>
                  </w14:solidFill>
                </w14:textFill>
              </w:rPr>
              <w:t>章</w:t>
            </w:r>
          </w:p>
        </w:tc>
        <w:tc>
          <w:tcPr>
            <w:tcW w:w="1396" w:type="pct"/>
            <w:shd w:val="clear" w:color="auto" w:fill="auto"/>
            <w:vAlign w:val="center"/>
          </w:tcPr>
          <w:p w14:paraId="699EC01D">
            <w:pPr>
              <w:spacing w:line="560" w:lineRule="exact"/>
              <w:ind w:firstLine="560" w:firstLineChars="200"/>
              <w:rPr>
                <w:rFonts w:ascii="黑体" w:hAnsi="黑体" w:eastAsia="黑体" w:cs="仿宋_GB2312"/>
                <w:color w:val="000000" w:themeColor="text1"/>
                <w:sz w:val="28"/>
                <w:szCs w:val="28"/>
                <w14:textFill>
                  <w14:solidFill>
                    <w14:schemeClr w14:val="tx1"/>
                  </w14:solidFill>
                </w14:textFill>
              </w:rPr>
            </w:pPr>
            <w:r>
              <w:rPr>
                <w:rFonts w:hint="eastAsia" w:ascii="黑体" w:hAnsi="黑体" w:eastAsia="黑体" w:cs="仿宋_GB2312"/>
                <w:color w:val="000000" w:themeColor="text1"/>
                <w:sz w:val="28"/>
                <w:szCs w:val="28"/>
                <w14:textFill>
                  <w14:solidFill>
                    <w14:schemeClr w14:val="tx1"/>
                  </w14:solidFill>
                </w14:textFill>
              </w:rPr>
              <w:t>内容</w:t>
            </w:r>
          </w:p>
        </w:tc>
        <w:tc>
          <w:tcPr>
            <w:tcW w:w="831" w:type="pct"/>
            <w:shd w:val="clear" w:color="auto" w:fill="auto"/>
            <w:vAlign w:val="center"/>
          </w:tcPr>
          <w:p w14:paraId="481E40EF">
            <w:pPr>
              <w:spacing w:line="560" w:lineRule="exact"/>
              <w:jc w:val="center"/>
              <w:rPr>
                <w:rFonts w:ascii="黑体" w:hAnsi="黑体" w:eastAsia="黑体" w:cs="仿宋_GB2312"/>
                <w:color w:val="000000" w:themeColor="text1"/>
                <w:sz w:val="28"/>
                <w:szCs w:val="28"/>
                <w14:textFill>
                  <w14:solidFill>
                    <w14:schemeClr w14:val="tx1"/>
                  </w14:solidFill>
                </w14:textFill>
              </w:rPr>
            </w:pPr>
            <w:r>
              <w:rPr>
                <w:rFonts w:hint="eastAsia" w:ascii="黑体" w:hAnsi="黑体" w:eastAsia="黑体" w:cs="仿宋_GB2312"/>
                <w:color w:val="000000" w:themeColor="text1"/>
                <w:sz w:val="28"/>
                <w:szCs w:val="28"/>
                <w14:textFill>
                  <w14:solidFill>
                    <w14:schemeClr w14:val="tx1"/>
                  </w14:solidFill>
                </w14:textFill>
              </w:rPr>
              <w:t>章/节号</w:t>
            </w:r>
          </w:p>
        </w:tc>
        <w:tc>
          <w:tcPr>
            <w:tcW w:w="2192" w:type="pct"/>
            <w:shd w:val="clear" w:color="auto" w:fill="auto"/>
            <w:vAlign w:val="center"/>
          </w:tcPr>
          <w:p w14:paraId="3EA287BE">
            <w:pPr>
              <w:spacing w:line="560" w:lineRule="exact"/>
              <w:jc w:val="center"/>
              <w:rPr>
                <w:rFonts w:ascii="黑体" w:hAnsi="黑体" w:eastAsia="黑体" w:cs="仿宋_GB2312"/>
                <w:color w:val="000000" w:themeColor="text1"/>
                <w:sz w:val="28"/>
                <w:szCs w:val="28"/>
                <w14:textFill>
                  <w14:solidFill>
                    <w14:schemeClr w14:val="tx1"/>
                  </w14:solidFill>
                </w14:textFill>
              </w:rPr>
            </w:pPr>
            <w:r>
              <w:rPr>
                <w:rFonts w:hint="eastAsia" w:ascii="黑体" w:hAnsi="黑体" w:eastAsia="黑体" w:cs="仿宋_GB2312"/>
                <w:color w:val="000000" w:themeColor="text1"/>
                <w:sz w:val="28"/>
                <w:szCs w:val="28"/>
                <w14:textFill>
                  <w14:solidFill>
                    <w14:schemeClr w14:val="tx1"/>
                  </w14:solidFill>
                </w14:textFill>
              </w:rPr>
              <w:t>条款内容</w:t>
            </w:r>
          </w:p>
        </w:tc>
      </w:tr>
      <w:tr w14:paraId="1DC5C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81" w:type="pct"/>
            <w:shd w:val="clear" w:color="auto" w:fill="auto"/>
            <w:vAlign w:val="center"/>
          </w:tcPr>
          <w:p w14:paraId="1672931C">
            <w:pPr>
              <w:spacing w:line="56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w:t>
            </w:r>
          </w:p>
        </w:tc>
        <w:tc>
          <w:tcPr>
            <w:tcW w:w="1396" w:type="pct"/>
            <w:shd w:val="clear" w:color="auto" w:fill="auto"/>
            <w:vAlign w:val="center"/>
          </w:tcPr>
          <w:p w14:paraId="760A9413">
            <w:pPr>
              <w:spacing w:line="560" w:lineRule="exac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范围</w:t>
            </w:r>
          </w:p>
        </w:tc>
        <w:tc>
          <w:tcPr>
            <w:tcW w:w="831" w:type="pct"/>
            <w:shd w:val="clear" w:color="auto" w:fill="auto"/>
            <w:vAlign w:val="center"/>
          </w:tcPr>
          <w:p w14:paraId="72F2A17D">
            <w:pPr>
              <w:spacing w:line="560" w:lineRule="exact"/>
              <w:jc w:val="center"/>
              <w:rPr>
                <w:rFonts w:ascii="仿宋_GB2312" w:hAnsi="仿宋_GB2312" w:eastAsia="仿宋_GB2312" w:cs="仿宋_GB2312"/>
                <w:color w:val="000000" w:themeColor="text1"/>
                <w:sz w:val="28"/>
                <w:szCs w:val="28"/>
                <w14:textFill>
                  <w14:solidFill>
                    <w14:schemeClr w14:val="tx1"/>
                  </w14:solidFill>
                </w14:textFill>
              </w:rPr>
            </w:pPr>
          </w:p>
        </w:tc>
        <w:tc>
          <w:tcPr>
            <w:tcW w:w="2192" w:type="pct"/>
            <w:shd w:val="clear" w:color="auto" w:fill="auto"/>
            <w:vAlign w:val="center"/>
          </w:tcPr>
          <w:p w14:paraId="77FCCF07">
            <w:pPr>
              <w:spacing w:line="560" w:lineRule="exact"/>
              <w:ind w:firstLine="560" w:firstLineChars="200"/>
              <w:rPr>
                <w:rFonts w:ascii="仿宋_GB2312" w:hAnsi="仿宋_GB2312" w:eastAsia="仿宋_GB2312" w:cs="仿宋_GB2312"/>
                <w:color w:val="000000" w:themeColor="text1"/>
                <w:sz w:val="28"/>
                <w:szCs w:val="28"/>
                <w14:textFill>
                  <w14:solidFill>
                    <w14:schemeClr w14:val="tx1"/>
                  </w14:solidFill>
                </w14:textFill>
              </w:rPr>
            </w:pPr>
          </w:p>
        </w:tc>
      </w:tr>
      <w:tr w14:paraId="506E9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81" w:type="pct"/>
            <w:shd w:val="clear" w:color="auto" w:fill="auto"/>
            <w:vAlign w:val="center"/>
          </w:tcPr>
          <w:p w14:paraId="6DC25E6C">
            <w:pPr>
              <w:spacing w:line="56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w:t>
            </w:r>
          </w:p>
        </w:tc>
        <w:tc>
          <w:tcPr>
            <w:tcW w:w="1396" w:type="pct"/>
            <w:shd w:val="clear" w:color="auto" w:fill="auto"/>
            <w:vAlign w:val="center"/>
          </w:tcPr>
          <w:p w14:paraId="4562F610">
            <w:pPr>
              <w:spacing w:line="560" w:lineRule="exac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规范性引用文件</w:t>
            </w:r>
          </w:p>
        </w:tc>
        <w:tc>
          <w:tcPr>
            <w:tcW w:w="831" w:type="pct"/>
            <w:shd w:val="clear" w:color="auto" w:fill="auto"/>
            <w:vAlign w:val="center"/>
          </w:tcPr>
          <w:p w14:paraId="0F808DCA">
            <w:pPr>
              <w:spacing w:line="560" w:lineRule="exact"/>
              <w:jc w:val="center"/>
              <w:rPr>
                <w:rFonts w:ascii="仿宋_GB2312" w:hAnsi="仿宋_GB2312" w:eastAsia="仿宋_GB2312" w:cs="仿宋_GB2312"/>
                <w:color w:val="000000" w:themeColor="text1"/>
                <w:sz w:val="28"/>
                <w:szCs w:val="28"/>
                <w14:textFill>
                  <w14:solidFill>
                    <w14:schemeClr w14:val="tx1"/>
                  </w14:solidFill>
                </w14:textFill>
              </w:rPr>
            </w:pPr>
          </w:p>
        </w:tc>
        <w:tc>
          <w:tcPr>
            <w:tcW w:w="2192" w:type="pct"/>
            <w:shd w:val="clear" w:color="auto" w:fill="auto"/>
            <w:vAlign w:val="center"/>
          </w:tcPr>
          <w:p w14:paraId="7B51567E">
            <w:pPr>
              <w:spacing w:line="560" w:lineRule="exact"/>
              <w:ind w:firstLine="560" w:firstLineChars="200"/>
              <w:rPr>
                <w:rFonts w:ascii="仿宋_GB2312" w:hAnsi="仿宋_GB2312" w:eastAsia="仿宋_GB2312" w:cs="仿宋_GB2312"/>
                <w:color w:val="000000" w:themeColor="text1"/>
                <w:sz w:val="28"/>
                <w:szCs w:val="28"/>
                <w14:textFill>
                  <w14:solidFill>
                    <w14:schemeClr w14:val="tx1"/>
                  </w14:solidFill>
                </w14:textFill>
              </w:rPr>
            </w:pPr>
          </w:p>
        </w:tc>
      </w:tr>
      <w:tr w14:paraId="06A55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81" w:type="pct"/>
            <w:shd w:val="clear" w:color="auto" w:fill="auto"/>
            <w:vAlign w:val="center"/>
          </w:tcPr>
          <w:p w14:paraId="14BCC191">
            <w:pPr>
              <w:spacing w:line="56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3</w:t>
            </w:r>
          </w:p>
        </w:tc>
        <w:tc>
          <w:tcPr>
            <w:tcW w:w="1396" w:type="pct"/>
            <w:shd w:val="clear" w:color="auto" w:fill="auto"/>
            <w:vAlign w:val="center"/>
          </w:tcPr>
          <w:p w14:paraId="7ED9295A">
            <w:pPr>
              <w:spacing w:line="560" w:lineRule="exac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术语和定义</w:t>
            </w:r>
          </w:p>
        </w:tc>
        <w:tc>
          <w:tcPr>
            <w:tcW w:w="831" w:type="pct"/>
            <w:shd w:val="clear" w:color="auto" w:fill="auto"/>
            <w:vAlign w:val="center"/>
          </w:tcPr>
          <w:p w14:paraId="4B015F54">
            <w:pPr>
              <w:spacing w:line="560" w:lineRule="exact"/>
              <w:jc w:val="center"/>
              <w:rPr>
                <w:rFonts w:ascii="仿宋_GB2312" w:hAnsi="仿宋_GB2312" w:eastAsia="仿宋_GB2312" w:cs="仿宋_GB2312"/>
                <w:color w:val="000000" w:themeColor="text1"/>
                <w:sz w:val="28"/>
                <w:szCs w:val="28"/>
                <w14:textFill>
                  <w14:solidFill>
                    <w14:schemeClr w14:val="tx1"/>
                  </w14:solidFill>
                </w14:textFill>
              </w:rPr>
            </w:pPr>
          </w:p>
        </w:tc>
        <w:tc>
          <w:tcPr>
            <w:tcW w:w="2192" w:type="pct"/>
            <w:shd w:val="clear" w:color="auto" w:fill="auto"/>
            <w:vAlign w:val="center"/>
          </w:tcPr>
          <w:p w14:paraId="7E71D30B">
            <w:pPr>
              <w:spacing w:line="560" w:lineRule="exact"/>
              <w:rPr>
                <w:rFonts w:ascii="仿宋_GB2312" w:hAnsi="仿宋_GB2312" w:eastAsia="仿宋_GB2312" w:cs="仿宋_GB2312"/>
                <w:color w:val="000000" w:themeColor="text1"/>
                <w:sz w:val="28"/>
                <w:szCs w:val="28"/>
                <w14:textFill>
                  <w14:solidFill>
                    <w14:schemeClr w14:val="tx1"/>
                  </w14:solidFill>
                </w14:textFill>
              </w:rPr>
            </w:pPr>
          </w:p>
        </w:tc>
      </w:tr>
      <w:tr w14:paraId="40C75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81" w:type="pct"/>
            <w:shd w:val="clear" w:color="auto" w:fill="auto"/>
            <w:vAlign w:val="center"/>
          </w:tcPr>
          <w:p w14:paraId="1F24639E">
            <w:pPr>
              <w:spacing w:line="56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4</w:t>
            </w:r>
          </w:p>
        </w:tc>
        <w:tc>
          <w:tcPr>
            <w:tcW w:w="1396" w:type="pct"/>
            <w:shd w:val="clear" w:color="auto" w:fill="auto"/>
            <w:vAlign w:val="center"/>
          </w:tcPr>
          <w:p w14:paraId="27CE0475">
            <w:pPr>
              <w:spacing w:line="560" w:lineRule="exac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总体原则</w:t>
            </w:r>
          </w:p>
        </w:tc>
        <w:tc>
          <w:tcPr>
            <w:tcW w:w="831" w:type="pct"/>
            <w:shd w:val="clear" w:color="auto" w:fill="auto"/>
            <w:vAlign w:val="center"/>
          </w:tcPr>
          <w:p w14:paraId="0CBBE7C0">
            <w:pPr>
              <w:spacing w:line="560" w:lineRule="exact"/>
              <w:jc w:val="center"/>
              <w:rPr>
                <w:rFonts w:ascii="仿宋_GB2312" w:hAnsi="仿宋_GB2312" w:eastAsia="仿宋_GB2312" w:cs="仿宋_GB2312"/>
                <w:color w:val="000000" w:themeColor="text1"/>
                <w:sz w:val="28"/>
                <w:szCs w:val="28"/>
                <w14:textFill>
                  <w14:solidFill>
                    <w14:schemeClr w14:val="tx1"/>
                  </w14:solidFill>
                </w14:textFill>
              </w:rPr>
            </w:pPr>
          </w:p>
        </w:tc>
        <w:tc>
          <w:tcPr>
            <w:tcW w:w="2192" w:type="pct"/>
            <w:shd w:val="clear" w:color="auto" w:fill="auto"/>
            <w:vAlign w:val="center"/>
          </w:tcPr>
          <w:p w14:paraId="6494A471">
            <w:pPr>
              <w:spacing w:line="560" w:lineRule="exac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给出平台应用的总体原则</w:t>
            </w:r>
          </w:p>
        </w:tc>
      </w:tr>
      <w:tr w14:paraId="06916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81" w:type="pct"/>
            <w:vMerge w:val="restart"/>
            <w:shd w:val="clear" w:color="auto" w:fill="auto"/>
            <w:vAlign w:val="center"/>
          </w:tcPr>
          <w:p w14:paraId="17E99D04">
            <w:pPr>
              <w:spacing w:line="56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ascii="仿宋_GB2312" w:hAnsi="仿宋_GB2312" w:eastAsia="仿宋_GB2312" w:cs="仿宋_GB2312"/>
                <w:color w:val="000000" w:themeColor="text1"/>
                <w:sz w:val="28"/>
                <w:szCs w:val="28"/>
                <w14:textFill>
                  <w14:solidFill>
                    <w14:schemeClr w14:val="tx1"/>
                  </w14:solidFill>
                </w14:textFill>
              </w:rPr>
              <w:t>5</w:t>
            </w:r>
          </w:p>
        </w:tc>
        <w:tc>
          <w:tcPr>
            <w:tcW w:w="1396" w:type="pct"/>
            <w:vMerge w:val="restart"/>
            <w:shd w:val="clear" w:color="auto" w:fill="auto"/>
            <w:vAlign w:val="center"/>
          </w:tcPr>
          <w:p w14:paraId="6D92110D">
            <w:pPr>
              <w:spacing w:line="560" w:lineRule="exac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职责分工</w:t>
            </w:r>
          </w:p>
        </w:tc>
        <w:tc>
          <w:tcPr>
            <w:tcW w:w="831" w:type="pct"/>
            <w:shd w:val="clear" w:color="auto" w:fill="auto"/>
            <w:vAlign w:val="center"/>
          </w:tcPr>
          <w:p w14:paraId="3CCB4F9E">
            <w:pPr>
              <w:spacing w:line="56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5</w:t>
            </w:r>
            <w:r>
              <w:rPr>
                <w:rFonts w:ascii="仿宋_GB2312" w:hAnsi="仿宋_GB2312" w:eastAsia="仿宋_GB2312" w:cs="仿宋_GB2312"/>
                <w:color w:val="000000" w:themeColor="text1"/>
                <w:sz w:val="28"/>
                <w:szCs w:val="28"/>
                <w14:textFill>
                  <w14:solidFill>
                    <w14:schemeClr w14:val="tx1"/>
                  </w14:solidFill>
                </w14:textFill>
              </w:rPr>
              <w:t>.1</w:t>
            </w:r>
          </w:p>
        </w:tc>
        <w:tc>
          <w:tcPr>
            <w:tcW w:w="2192" w:type="pct"/>
            <w:shd w:val="clear" w:color="auto" w:fill="auto"/>
            <w:vAlign w:val="center"/>
          </w:tcPr>
          <w:p w14:paraId="0DB59C3A">
            <w:pPr>
              <w:spacing w:line="560" w:lineRule="exac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明确市级管理部门职责分工</w:t>
            </w:r>
          </w:p>
        </w:tc>
      </w:tr>
      <w:tr w14:paraId="755F6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81" w:type="pct"/>
            <w:vMerge w:val="continue"/>
            <w:shd w:val="clear" w:color="auto" w:fill="auto"/>
            <w:vAlign w:val="center"/>
          </w:tcPr>
          <w:p w14:paraId="667C3FC6">
            <w:pPr>
              <w:spacing w:line="560" w:lineRule="exact"/>
              <w:ind w:firstLine="560" w:firstLineChars="200"/>
              <w:jc w:val="center"/>
              <w:rPr>
                <w:rFonts w:ascii="仿宋_GB2312" w:hAnsi="仿宋_GB2312" w:eastAsia="仿宋_GB2312" w:cs="仿宋_GB2312"/>
                <w:color w:val="000000" w:themeColor="text1"/>
                <w:sz w:val="28"/>
                <w:szCs w:val="28"/>
                <w14:textFill>
                  <w14:solidFill>
                    <w14:schemeClr w14:val="tx1"/>
                  </w14:solidFill>
                </w14:textFill>
              </w:rPr>
            </w:pPr>
          </w:p>
        </w:tc>
        <w:tc>
          <w:tcPr>
            <w:tcW w:w="1396" w:type="pct"/>
            <w:vMerge w:val="continue"/>
            <w:shd w:val="clear" w:color="auto" w:fill="auto"/>
            <w:vAlign w:val="center"/>
          </w:tcPr>
          <w:p w14:paraId="5873B533">
            <w:pPr>
              <w:spacing w:line="560" w:lineRule="exact"/>
              <w:rPr>
                <w:rFonts w:ascii="仿宋_GB2312" w:hAnsi="仿宋_GB2312" w:eastAsia="仿宋_GB2312" w:cs="仿宋_GB2312"/>
                <w:color w:val="000000" w:themeColor="text1"/>
                <w:sz w:val="28"/>
                <w:szCs w:val="28"/>
                <w14:textFill>
                  <w14:solidFill>
                    <w14:schemeClr w14:val="tx1"/>
                  </w14:solidFill>
                </w14:textFill>
              </w:rPr>
            </w:pPr>
          </w:p>
        </w:tc>
        <w:tc>
          <w:tcPr>
            <w:tcW w:w="831" w:type="pct"/>
            <w:shd w:val="clear" w:color="auto" w:fill="auto"/>
            <w:vAlign w:val="center"/>
          </w:tcPr>
          <w:p w14:paraId="2C8E41F5">
            <w:pPr>
              <w:spacing w:line="56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5</w:t>
            </w:r>
            <w:r>
              <w:rPr>
                <w:rFonts w:ascii="仿宋_GB2312" w:hAnsi="仿宋_GB2312" w:eastAsia="仿宋_GB2312" w:cs="仿宋_GB2312"/>
                <w:color w:val="000000" w:themeColor="text1"/>
                <w:sz w:val="28"/>
                <w:szCs w:val="28"/>
                <w14:textFill>
                  <w14:solidFill>
                    <w14:schemeClr w14:val="tx1"/>
                  </w14:solidFill>
                </w14:textFill>
              </w:rPr>
              <w:t>.2</w:t>
            </w:r>
          </w:p>
        </w:tc>
        <w:tc>
          <w:tcPr>
            <w:tcW w:w="2192" w:type="pct"/>
            <w:shd w:val="clear" w:color="auto" w:fill="auto"/>
            <w:vAlign w:val="center"/>
          </w:tcPr>
          <w:p w14:paraId="2BB97719">
            <w:pPr>
              <w:spacing w:line="560" w:lineRule="exac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明确县级管理部门职责分工</w:t>
            </w:r>
          </w:p>
        </w:tc>
      </w:tr>
      <w:tr w14:paraId="4BFD1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81" w:type="pct"/>
            <w:vMerge w:val="continue"/>
            <w:shd w:val="clear" w:color="auto" w:fill="auto"/>
            <w:vAlign w:val="center"/>
          </w:tcPr>
          <w:p w14:paraId="1AFA38AA">
            <w:pPr>
              <w:spacing w:line="560" w:lineRule="exact"/>
              <w:ind w:firstLine="560" w:firstLineChars="200"/>
              <w:jc w:val="center"/>
              <w:rPr>
                <w:rFonts w:ascii="仿宋_GB2312" w:hAnsi="仿宋_GB2312" w:eastAsia="仿宋_GB2312" w:cs="仿宋_GB2312"/>
                <w:color w:val="000000" w:themeColor="text1"/>
                <w:sz w:val="28"/>
                <w:szCs w:val="28"/>
                <w14:textFill>
                  <w14:solidFill>
                    <w14:schemeClr w14:val="tx1"/>
                  </w14:solidFill>
                </w14:textFill>
              </w:rPr>
            </w:pPr>
          </w:p>
        </w:tc>
        <w:tc>
          <w:tcPr>
            <w:tcW w:w="1396" w:type="pct"/>
            <w:vMerge w:val="continue"/>
            <w:shd w:val="clear" w:color="auto" w:fill="auto"/>
            <w:vAlign w:val="center"/>
          </w:tcPr>
          <w:p w14:paraId="4CE3CF03">
            <w:pPr>
              <w:spacing w:line="560" w:lineRule="exact"/>
              <w:rPr>
                <w:rFonts w:ascii="仿宋_GB2312" w:hAnsi="仿宋_GB2312" w:eastAsia="仿宋_GB2312" w:cs="仿宋_GB2312"/>
                <w:color w:val="000000" w:themeColor="text1"/>
                <w:sz w:val="28"/>
                <w:szCs w:val="28"/>
                <w14:textFill>
                  <w14:solidFill>
                    <w14:schemeClr w14:val="tx1"/>
                  </w14:solidFill>
                </w14:textFill>
              </w:rPr>
            </w:pPr>
          </w:p>
        </w:tc>
        <w:tc>
          <w:tcPr>
            <w:tcW w:w="831" w:type="pct"/>
            <w:shd w:val="clear" w:color="auto" w:fill="auto"/>
            <w:vAlign w:val="center"/>
          </w:tcPr>
          <w:p w14:paraId="1ADE004C">
            <w:pPr>
              <w:spacing w:line="56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5</w:t>
            </w:r>
            <w:r>
              <w:rPr>
                <w:rFonts w:ascii="仿宋_GB2312" w:hAnsi="仿宋_GB2312" w:eastAsia="仿宋_GB2312" w:cs="仿宋_GB2312"/>
                <w:color w:val="000000" w:themeColor="text1"/>
                <w:sz w:val="28"/>
                <w:szCs w:val="28"/>
                <w14:textFill>
                  <w14:solidFill>
                    <w14:schemeClr w14:val="tx1"/>
                  </w14:solidFill>
                </w14:textFill>
              </w:rPr>
              <w:t>.3</w:t>
            </w:r>
          </w:p>
        </w:tc>
        <w:tc>
          <w:tcPr>
            <w:tcW w:w="2192" w:type="pct"/>
            <w:shd w:val="clear" w:color="auto" w:fill="auto"/>
            <w:vAlign w:val="center"/>
          </w:tcPr>
          <w:p w14:paraId="61B2DAF9">
            <w:pPr>
              <w:spacing w:line="560" w:lineRule="exac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明确乡级管理部门职责分工</w:t>
            </w:r>
          </w:p>
        </w:tc>
      </w:tr>
      <w:tr w14:paraId="59617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81" w:type="pct"/>
            <w:vMerge w:val="continue"/>
            <w:shd w:val="clear" w:color="auto" w:fill="auto"/>
            <w:vAlign w:val="center"/>
          </w:tcPr>
          <w:p w14:paraId="0C1B590E">
            <w:pPr>
              <w:spacing w:line="560" w:lineRule="exact"/>
              <w:ind w:firstLine="560" w:firstLineChars="200"/>
              <w:jc w:val="center"/>
              <w:rPr>
                <w:rFonts w:ascii="仿宋_GB2312" w:hAnsi="仿宋_GB2312" w:eastAsia="仿宋_GB2312" w:cs="仿宋_GB2312"/>
                <w:color w:val="000000" w:themeColor="text1"/>
                <w:sz w:val="28"/>
                <w:szCs w:val="28"/>
                <w14:textFill>
                  <w14:solidFill>
                    <w14:schemeClr w14:val="tx1"/>
                  </w14:solidFill>
                </w14:textFill>
              </w:rPr>
            </w:pPr>
          </w:p>
        </w:tc>
        <w:tc>
          <w:tcPr>
            <w:tcW w:w="1396" w:type="pct"/>
            <w:vMerge w:val="continue"/>
            <w:shd w:val="clear" w:color="auto" w:fill="auto"/>
            <w:vAlign w:val="center"/>
          </w:tcPr>
          <w:p w14:paraId="72C6E3EA">
            <w:pPr>
              <w:spacing w:line="560" w:lineRule="exact"/>
              <w:rPr>
                <w:rFonts w:ascii="仿宋_GB2312" w:hAnsi="仿宋_GB2312" w:eastAsia="仿宋_GB2312" w:cs="仿宋_GB2312"/>
                <w:color w:val="000000" w:themeColor="text1"/>
                <w:sz w:val="28"/>
                <w:szCs w:val="28"/>
                <w14:textFill>
                  <w14:solidFill>
                    <w14:schemeClr w14:val="tx1"/>
                  </w14:solidFill>
                </w14:textFill>
              </w:rPr>
            </w:pPr>
          </w:p>
        </w:tc>
        <w:tc>
          <w:tcPr>
            <w:tcW w:w="831" w:type="pct"/>
            <w:shd w:val="clear" w:color="auto" w:fill="auto"/>
            <w:vAlign w:val="center"/>
          </w:tcPr>
          <w:p w14:paraId="205513A8">
            <w:pPr>
              <w:spacing w:line="56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5</w:t>
            </w:r>
            <w:r>
              <w:rPr>
                <w:rFonts w:ascii="仿宋_GB2312" w:hAnsi="仿宋_GB2312" w:eastAsia="仿宋_GB2312" w:cs="仿宋_GB2312"/>
                <w:color w:val="000000" w:themeColor="text1"/>
                <w:sz w:val="28"/>
                <w:szCs w:val="28"/>
                <w14:textFill>
                  <w14:solidFill>
                    <w14:schemeClr w14:val="tx1"/>
                  </w14:solidFill>
                </w14:textFill>
              </w:rPr>
              <w:t>.4</w:t>
            </w:r>
          </w:p>
        </w:tc>
        <w:tc>
          <w:tcPr>
            <w:tcW w:w="2192" w:type="pct"/>
            <w:shd w:val="clear" w:color="auto" w:fill="auto"/>
            <w:vAlign w:val="center"/>
          </w:tcPr>
          <w:p w14:paraId="6B15BDA1">
            <w:pPr>
              <w:spacing w:line="560" w:lineRule="exac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明确村级管理部门职责分工</w:t>
            </w:r>
          </w:p>
        </w:tc>
      </w:tr>
      <w:tr w14:paraId="5ABC5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81" w:type="pct"/>
            <w:vMerge w:val="restart"/>
            <w:shd w:val="clear" w:color="auto" w:fill="auto"/>
            <w:vAlign w:val="center"/>
          </w:tcPr>
          <w:p w14:paraId="70028B8D">
            <w:pPr>
              <w:spacing w:line="56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ascii="仿宋_GB2312" w:hAnsi="仿宋_GB2312" w:eastAsia="仿宋_GB2312" w:cs="仿宋_GB2312"/>
                <w:color w:val="000000" w:themeColor="text1"/>
                <w:sz w:val="28"/>
                <w:szCs w:val="28"/>
                <w14:textFill>
                  <w14:solidFill>
                    <w14:schemeClr w14:val="tx1"/>
                  </w14:solidFill>
                </w14:textFill>
              </w:rPr>
              <w:t>6</w:t>
            </w:r>
          </w:p>
        </w:tc>
        <w:tc>
          <w:tcPr>
            <w:tcW w:w="1396" w:type="pct"/>
            <w:vMerge w:val="restart"/>
            <w:shd w:val="clear" w:color="auto" w:fill="auto"/>
            <w:vAlign w:val="center"/>
          </w:tcPr>
          <w:p w14:paraId="6F26C769">
            <w:pPr>
              <w:spacing w:line="560" w:lineRule="exac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用户管理</w:t>
            </w:r>
          </w:p>
        </w:tc>
        <w:tc>
          <w:tcPr>
            <w:tcW w:w="831" w:type="pct"/>
            <w:shd w:val="clear" w:color="auto" w:fill="auto"/>
            <w:vAlign w:val="center"/>
          </w:tcPr>
          <w:p w14:paraId="0B802D5A">
            <w:pPr>
              <w:spacing w:line="56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ascii="仿宋_GB2312" w:hAnsi="仿宋_GB2312" w:eastAsia="仿宋_GB2312" w:cs="仿宋_GB2312"/>
                <w:color w:val="000000" w:themeColor="text1"/>
                <w:sz w:val="28"/>
                <w:szCs w:val="28"/>
                <w14:textFill>
                  <w14:solidFill>
                    <w14:schemeClr w14:val="tx1"/>
                  </w14:solidFill>
                </w14:textFill>
              </w:rPr>
              <w:t>6.1</w:t>
            </w:r>
          </w:p>
        </w:tc>
        <w:tc>
          <w:tcPr>
            <w:tcW w:w="2192" w:type="pct"/>
            <w:shd w:val="clear" w:color="auto" w:fill="auto"/>
            <w:vAlign w:val="center"/>
          </w:tcPr>
          <w:p w14:paraId="43505D36">
            <w:pPr>
              <w:spacing w:line="560" w:lineRule="exac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明确用户管理原则</w:t>
            </w:r>
          </w:p>
        </w:tc>
      </w:tr>
      <w:tr w14:paraId="57583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81" w:type="pct"/>
            <w:vMerge w:val="continue"/>
            <w:shd w:val="clear" w:color="auto" w:fill="auto"/>
            <w:vAlign w:val="center"/>
          </w:tcPr>
          <w:p w14:paraId="44E77F68">
            <w:pPr>
              <w:spacing w:line="560" w:lineRule="exact"/>
              <w:jc w:val="center"/>
              <w:rPr>
                <w:rFonts w:ascii="仿宋_GB2312" w:hAnsi="仿宋_GB2312" w:eastAsia="仿宋_GB2312" w:cs="仿宋_GB2312"/>
                <w:color w:val="000000" w:themeColor="text1"/>
                <w:sz w:val="28"/>
                <w:szCs w:val="28"/>
                <w14:textFill>
                  <w14:solidFill>
                    <w14:schemeClr w14:val="tx1"/>
                  </w14:solidFill>
                </w14:textFill>
              </w:rPr>
            </w:pPr>
          </w:p>
        </w:tc>
        <w:tc>
          <w:tcPr>
            <w:tcW w:w="1396" w:type="pct"/>
            <w:vMerge w:val="continue"/>
            <w:shd w:val="clear" w:color="auto" w:fill="auto"/>
            <w:vAlign w:val="center"/>
          </w:tcPr>
          <w:p w14:paraId="5F676CF3">
            <w:pPr>
              <w:spacing w:line="560" w:lineRule="exact"/>
              <w:rPr>
                <w:rFonts w:ascii="仿宋_GB2312" w:hAnsi="仿宋_GB2312" w:eastAsia="仿宋_GB2312" w:cs="仿宋_GB2312"/>
                <w:color w:val="000000" w:themeColor="text1"/>
                <w:sz w:val="28"/>
                <w:szCs w:val="28"/>
                <w14:textFill>
                  <w14:solidFill>
                    <w14:schemeClr w14:val="tx1"/>
                  </w14:solidFill>
                </w14:textFill>
              </w:rPr>
            </w:pPr>
          </w:p>
        </w:tc>
        <w:tc>
          <w:tcPr>
            <w:tcW w:w="831" w:type="pct"/>
            <w:shd w:val="clear" w:color="auto" w:fill="auto"/>
            <w:vAlign w:val="center"/>
          </w:tcPr>
          <w:p w14:paraId="52BAE5DC">
            <w:pPr>
              <w:spacing w:line="56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ascii="仿宋_GB2312" w:hAnsi="仿宋_GB2312" w:eastAsia="仿宋_GB2312" w:cs="仿宋_GB2312"/>
                <w:color w:val="000000" w:themeColor="text1"/>
                <w:sz w:val="28"/>
                <w:szCs w:val="28"/>
                <w14:textFill>
                  <w14:solidFill>
                    <w14:schemeClr w14:val="tx1"/>
                  </w14:solidFill>
                </w14:textFill>
              </w:rPr>
              <w:t>6.2</w:t>
            </w:r>
          </w:p>
        </w:tc>
        <w:tc>
          <w:tcPr>
            <w:tcW w:w="2192" w:type="pct"/>
            <w:shd w:val="clear" w:color="auto" w:fill="auto"/>
            <w:vAlign w:val="center"/>
          </w:tcPr>
          <w:p w14:paraId="58A6CAD9">
            <w:pPr>
              <w:spacing w:line="560" w:lineRule="exac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明确用户管理模式</w:t>
            </w:r>
          </w:p>
        </w:tc>
      </w:tr>
      <w:tr w14:paraId="1814B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81" w:type="pct"/>
            <w:vMerge w:val="continue"/>
            <w:shd w:val="clear" w:color="auto" w:fill="auto"/>
            <w:vAlign w:val="center"/>
          </w:tcPr>
          <w:p w14:paraId="395DD052">
            <w:pPr>
              <w:spacing w:line="560" w:lineRule="exact"/>
              <w:ind w:firstLine="560" w:firstLineChars="200"/>
              <w:rPr>
                <w:rFonts w:ascii="仿宋_GB2312" w:hAnsi="仿宋_GB2312" w:eastAsia="仿宋_GB2312" w:cs="仿宋_GB2312"/>
                <w:color w:val="000000" w:themeColor="text1"/>
                <w:sz w:val="28"/>
                <w:szCs w:val="28"/>
                <w14:textFill>
                  <w14:solidFill>
                    <w14:schemeClr w14:val="tx1"/>
                  </w14:solidFill>
                </w14:textFill>
              </w:rPr>
            </w:pPr>
          </w:p>
        </w:tc>
        <w:tc>
          <w:tcPr>
            <w:tcW w:w="1396" w:type="pct"/>
            <w:vMerge w:val="continue"/>
            <w:shd w:val="clear" w:color="auto" w:fill="auto"/>
            <w:vAlign w:val="center"/>
          </w:tcPr>
          <w:p w14:paraId="54F4ED08">
            <w:pPr>
              <w:spacing w:line="560" w:lineRule="exact"/>
              <w:rPr>
                <w:rFonts w:ascii="仿宋_GB2312" w:hAnsi="仿宋_GB2312" w:eastAsia="仿宋_GB2312" w:cs="仿宋_GB2312"/>
                <w:color w:val="000000" w:themeColor="text1"/>
                <w:sz w:val="28"/>
                <w:szCs w:val="28"/>
                <w14:textFill>
                  <w14:solidFill>
                    <w14:schemeClr w14:val="tx1"/>
                  </w14:solidFill>
                </w14:textFill>
              </w:rPr>
            </w:pPr>
          </w:p>
        </w:tc>
        <w:tc>
          <w:tcPr>
            <w:tcW w:w="831" w:type="pct"/>
            <w:shd w:val="clear" w:color="auto" w:fill="auto"/>
            <w:vAlign w:val="center"/>
          </w:tcPr>
          <w:p w14:paraId="2E1245F4">
            <w:pPr>
              <w:spacing w:line="56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ascii="仿宋_GB2312" w:hAnsi="仿宋_GB2312" w:eastAsia="仿宋_GB2312" w:cs="仿宋_GB2312"/>
                <w:color w:val="000000" w:themeColor="text1"/>
                <w:sz w:val="28"/>
                <w:szCs w:val="28"/>
                <w14:textFill>
                  <w14:solidFill>
                    <w14:schemeClr w14:val="tx1"/>
                  </w14:solidFill>
                </w14:textFill>
              </w:rPr>
              <w:t>6.3</w:t>
            </w:r>
          </w:p>
        </w:tc>
        <w:tc>
          <w:tcPr>
            <w:tcW w:w="2192" w:type="pct"/>
            <w:shd w:val="clear" w:color="auto" w:fill="auto"/>
            <w:vAlign w:val="center"/>
          </w:tcPr>
          <w:p w14:paraId="52EE9747">
            <w:pPr>
              <w:spacing w:line="560" w:lineRule="exac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提出用户管理要求</w:t>
            </w:r>
          </w:p>
        </w:tc>
      </w:tr>
      <w:tr w14:paraId="3C1B5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81" w:type="pct"/>
            <w:vMerge w:val="restart"/>
            <w:shd w:val="clear" w:color="auto" w:fill="auto"/>
            <w:vAlign w:val="center"/>
          </w:tcPr>
          <w:p w14:paraId="74C19D8A">
            <w:pPr>
              <w:spacing w:line="56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ascii="仿宋_GB2312" w:hAnsi="仿宋_GB2312" w:eastAsia="仿宋_GB2312" w:cs="仿宋_GB2312"/>
                <w:color w:val="000000" w:themeColor="text1"/>
                <w:sz w:val="28"/>
                <w:szCs w:val="28"/>
                <w14:textFill>
                  <w14:solidFill>
                    <w14:schemeClr w14:val="tx1"/>
                  </w14:solidFill>
                </w14:textFill>
              </w:rPr>
              <w:t>7</w:t>
            </w:r>
          </w:p>
        </w:tc>
        <w:tc>
          <w:tcPr>
            <w:tcW w:w="1396" w:type="pct"/>
            <w:vMerge w:val="restart"/>
            <w:shd w:val="clear" w:color="auto" w:fill="auto"/>
            <w:vAlign w:val="center"/>
          </w:tcPr>
          <w:p w14:paraId="03082D6A">
            <w:pPr>
              <w:spacing w:line="560" w:lineRule="exac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信息平台功能应用</w:t>
            </w:r>
          </w:p>
        </w:tc>
        <w:tc>
          <w:tcPr>
            <w:tcW w:w="831" w:type="pct"/>
            <w:shd w:val="clear" w:color="auto" w:fill="auto"/>
            <w:vAlign w:val="center"/>
          </w:tcPr>
          <w:p w14:paraId="433071B0">
            <w:pPr>
              <w:spacing w:line="56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7</w:t>
            </w:r>
            <w:r>
              <w:rPr>
                <w:rFonts w:ascii="仿宋_GB2312" w:hAnsi="仿宋_GB2312" w:eastAsia="仿宋_GB2312" w:cs="仿宋_GB2312"/>
                <w:color w:val="000000" w:themeColor="text1"/>
                <w:sz w:val="28"/>
                <w:szCs w:val="28"/>
                <w14:textFill>
                  <w14:solidFill>
                    <w14:schemeClr w14:val="tx1"/>
                  </w14:solidFill>
                </w14:textFill>
              </w:rPr>
              <w:t>.1</w:t>
            </w:r>
          </w:p>
        </w:tc>
        <w:tc>
          <w:tcPr>
            <w:tcW w:w="2192" w:type="pct"/>
            <w:shd w:val="clear" w:color="auto" w:fill="auto"/>
            <w:vAlign w:val="center"/>
          </w:tcPr>
          <w:p w14:paraId="7DE4BEFF">
            <w:pPr>
              <w:spacing w:line="560" w:lineRule="exac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账号管理功能应用要求</w:t>
            </w:r>
          </w:p>
        </w:tc>
      </w:tr>
      <w:tr w14:paraId="0D3EA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81" w:type="pct"/>
            <w:vMerge w:val="continue"/>
            <w:shd w:val="clear" w:color="auto" w:fill="auto"/>
            <w:vAlign w:val="center"/>
          </w:tcPr>
          <w:p w14:paraId="0ACE5C71">
            <w:pPr>
              <w:spacing w:line="560" w:lineRule="exact"/>
              <w:jc w:val="center"/>
              <w:rPr>
                <w:rFonts w:ascii="仿宋_GB2312" w:hAnsi="仿宋_GB2312" w:eastAsia="仿宋_GB2312" w:cs="仿宋_GB2312"/>
                <w:color w:val="000000" w:themeColor="text1"/>
                <w:sz w:val="28"/>
                <w:szCs w:val="28"/>
                <w14:textFill>
                  <w14:solidFill>
                    <w14:schemeClr w14:val="tx1"/>
                  </w14:solidFill>
                </w14:textFill>
              </w:rPr>
            </w:pPr>
          </w:p>
        </w:tc>
        <w:tc>
          <w:tcPr>
            <w:tcW w:w="1396" w:type="pct"/>
            <w:vMerge w:val="continue"/>
            <w:shd w:val="clear" w:color="auto" w:fill="auto"/>
            <w:vAlign w:val="center"/>
          </w:tcPr>
          <w:p w14:paraId="49A5177C">
            <w:pPr>
              <w:spacing w:line="560" w:lineRule="exact"/>
              <w:rPr>
                <w:rFonts w:ascii="仿宋_GB2312" w:hAnsi="仿宋_GB2312" w:eastAsia="仿宋_GB2312" w:cs="仿宋_GB2312"/>
                <w:color w:val="000000" w:themeColor="text1"/>
                <w:sz w:val="28"/>
                <w:szCs w:val="28"/>
                <w14:textFill>
                  <w14:solidFill>
                    <w14:schemeClr w14:val="tx1"/>
                  </w14:solidFill>
                </w14:textFill>
              </w:rPr>
            </w:pPr>
          </w:p>
        </w:tc>
        <w:tc>
          <w:tcPr>
            <w:tcW w:w="831" w:type="pct"/>
            <w:shd w:val="clear" w:color="auto" w:fill="auto"/>
            <w:vAlign w:val="center"/>
          </w:tcPr>
          <w:p w14:paraId="626D346C">
            <w:pPr>
              <w:spacing w:line="56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7</w:t>
            </w:r>
            <w:r>
              <w:rPr>
                <w:rFonts w:ascii="仿宋_GB2312" w:hAnsi="仿宋_GB2312" w:eastAsia="仿宋_GB2312" w:cs="仿宋_GB2312"/>
                <w:color w:val="000000" w:themeColor="text1"/>
                <w:sz w:val="28"/>
                <w:szCs w:val="28"/>
                <w14:textFill>
                  <w14:solidFill>
                    <w14:schemeClr w14:val="tx1"/>
                  </w14:solidFill>
                </w14:textFill>
              </w:rPr>
              <w:t>.2</w:t>
            </w:r>
          </w:p>
        </w:tc>
        <w:tc>
          <w:tcPr>
            <w:tcW w:w="2192" w:type="pct"/>
            <w:shd w:val="clear" w:color="auto" w:fill="auto"/>
            <w:vAlign w:val="center"/>
          </w:tcPr>
          <w:p w14:paraId="658A43EE">
            <w:pPr>
              <w:spacing w:line="560" w:lineRule="exac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建设管理功能应用要求</w:t>
            </w:r>
          </w:p>
        </w:tc>
      </w:tr>
      <w:tr w14:paraId="69A6E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81" w:type="pct"/>
            <w:vMerge w:val="continue"/>
            <w:shd w:val="clear" w:color="auto" w:fill="auto"/>
            <w:vAlign w:val="center"/>
          </w:tcPr>
          <w:p w14:paraId="01058D27">
            <w:pPr>
              <w:spacing w:line="560" w:lineRule="exact"/>
              <w:jc w:val="center"/>
              <w:rPr>
                <w:rFonts w:ascii="仿宋_GB2312" w:hAnsi="仿宋_GB2312" w:eastAsia="仿宋_GB2312" w:cs="仿宋_GB2312"/>
                <w:color w:val="000000" w:themeColor="text1"/>
                <w:sz w:val="28"/>
                <w:szCs w:val="28"/>
                <w14:textFill>
                  <w14:solidFill>
                    <w14:schemeClr w14:val="tx1"/>
                  </w14:solidFill>
                </w14:textFill>
              </w:rPr>
            </w:pPr>
          </w:p>
        </w:tc>
        <w:tc>
          <w:tcPr>
            <w:tcW w:w="1396" w:type="pct"/>
            <w:vMerge w:val="continue"/>
            <w:shd w:val="clear" w:color="auto" w:fill="auto"/>
            <w:vAlign w:val="center"/>
          </w:tcPr>
          <w:p w14:paraId="4691F657">
            <w:pPr>
              <w:spacing w:line="560" w:lineRule="exact"/>
              <w:rPr>
                <w:rFonts w:ascii="仿宋_GB2312" w:hAnsi="仿宋_GB2312" w:eastAsia="仿宋_GB2312" w:cs="仿宋_GB2312"/>
                <w:color w:val="000000" w:themeColor="text1"/>
                <w:sz w:val="28"/>
                <w:szCs w:val="28"/>
                <w14:textFill>
                  <w14:solidFill>
                    <w14:schemeClr w14:val="tx1"/>
                  </w14:solidFill>
                </w14:textFill>
              </w:rPr>
            </w:pPr>
          </w:p>
        </w:tc>
        <w:tc>
          <w:tcPr>
            <w:tcW w:w="831" w:type="pct"/>
            <w:shd w:val="clear" w:color="auto" w:fill="auto"/>
            <w:vAlign w:val="center"/>
          </w:tcPr>
          <w:p w14:paraId="252798B5">
            <w:pPr>
              <w:spacing w:line="56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7</w:t>
            </w:r>
            <w:r>
              <w:rPr>
                <w:rFonts w:ascii="仿宋_GB2312" w:hAnsi="仿宋_GB2312" w:eastAsia="仿宋_GB2312" w:cs="仿宋_GB2312"/>
                <w:color w:val="000000" w:themeColor="text1"/>
                <w:sz w:val="28"/>
                <w:szCs w:val="28"/>
                <w14:textFill>
                  <w14:solidFill>
                    <w14:schemeClr w14:val="tx1"/>
                  </w14:solidFill>
                </w14:textFill>
              </w:rPr>
              <w:t>.3</w:t>
            </w:r>
          </w:p>
        </w:tc>
        <w:tc>
          <w:tcPr>
            <w:tcW w:w="2192" w:type="pct"/>
            <w:shd w:val="clear" w:color="auto" w:fill="auto"/>
            <w:vAlign w:val="center"/>
          </w:tcPr>
          <w:p w14:paraId="4F2FEF4B">
            <w:pPr>
              <w:spacing w:line="560" w:lineRule="exac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养护管理功能应用要求</w:t>
            </w:r>
          </w:p>
        </w:tc>
      </w:tr>
      <w:tr w14:paraId="38FB9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81" w:type="pct"/>
            <w:vMerge w:val="continue"/>
            <w:shd w:val="clear" w:color="auto" w:fill="auto"/>
            <w:vAlign w:val="center"/>
          </w:tcPr>
          <w:p w14:paraId="693A132A">
            <w:pPr>
              <w:spacing w:line="560" w:lineRule="exact"/>
              <w:jc w:val="center"/>
              <w:rPr>
                <w:rFonts w:ascii="仿宋_GB2312" w:hAnsi="仿宋_GB2312" w:eastAsia="仿宋_GB2312" w:cs="仿宋_GB2312"/>
                <w:color w:val="000000" w:themeColor="text1"/>
                <w:sz w:val="28"/>
                <w:szCs w:val="28"/>
                <w14:textFill>
                  <w14:solidFill>
                    <w14:schemeClr w14:val="tx1"/>
                  </w14:solidFill>
                </w14:textFill>
              </w:rPr>
            </w:pPr>
          </w:p>
        </w:tc>
        <w:tc>
          <w:tcPr>
            <w:tcW w:w="1396" w:type="pct"/>
            <w:vMerge w:val="continue"/>
            <w:shd w:val="clear" w:color="auto" w:fill="auto"/>
            <w:vAlign w:val="center"/>
          </w:tcPr>
          <w:p w14:paraId="50D0A217">
            <w:pPr>
              <w:spacing w:line="560" w:lineRule="exact"/>
              <w:rPr>
                <w:rFonts w:ascii="仿宋_GB2312" w:hAnsi="仿宋_GB2312" w:eastAsia="仿宋_GB2312" w:cs="仿宋_GB2312"/>
                <w:color w:val="000000" w:themeColor="text1"/>
                <w:sz w:val="28"/>
                <w:szCs w:val="28"/>
                <w14:textFill>
                  <w14:solidFill>
                    <w14:schemeClr w14:val="tx1"/>
                  </w14:solidFill>
                </w14:textFill>
              </w:rPr>
            </w:pPr>
          </w:p>
        </w:tc>
        <w:tc>
          <w:tcPr>
            <w:tcW w:w="831" w:type="pct"/>
            <w:shd w:val="clear" w:color="auto" w:fill="auto"/>
            <w:vAlign w:val="center"/>
          </w:tcPr>
          <w:p w14:paraId="364B0BA3">
            <w:pPr>
              <w:spacing w:line="56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7</w:t>
            </w:r>
            <w:r>
              <w:rPr>
                <w:rFonts w:ascii="仿宋_GB2312" w:hAnsi="仿宋_GB2312" w:eastAsia="仿宋_GB2312" w:cs="仿宋_GB2312"/>
                <w:color w:val="000000" w:themeColor="text1"/>
                <w:sz w:val="28"/>
                <w:szCs w:val="28"/>
                <w14:textFill>
                  <w14:solidFill>
                    <w14:schemeClr w14:val="tx1"/>
                  </w14:solidFill>
                </w14:textFill>
              </w:rPr>
              <w:t>.4</w:t>
            </w:r>
          </w:p>
        </w:tc>
        <w:tc>
          <w:tcPr>
            <w:tcW w:w="2192" w:type="pct"/>
            <w:shd w:val="clear" w:color="auto" w:fill="auto"/>
            <w:vAlign w:val="center"/>
          </w:tcPr>
          <w:p w14:paraId="3C9FF663">
            <w:pPr>
              <w:spacing w:line="560" w:lineRule="exac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综合管理功能应用要求</w:t>
            </w:r>
          </w:p>
        </w:tc>
      </w:tr>
      <w:tr w14:paraId="377C4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81" w:type="pct"/>
            <w:vMerge w:val="continue"/>
            <w:shd w:val="clear" w:color="auto" w:fill="auto"/>
            <w:vAlign w:val="center"/>
          </w:tcPr>
          <w:p w14:paraId="47DE9CF4">
            <w:pPr>
              <w:spacing w:line="560" w:lineRule="exact"/>
              <w:jc w:val="center"/>
              <w:rPr>
                <w:rFonts w:ascii="仿宋_GB2312" w:hAnsi="仿宋_GB2312" w:eastAsia="仿宋_GB2312" w:cs="仿宋_GB2312"/>
                <w:color w:val="000000" w:themeColor="text1"/>
                <w:sz w:val="28"/>
                <w:szCs w:val="28"/>
                <w14:textFill>
                  <w14:solidFill>
                    <w14:schemeClr w14:val="tx1"/>
                  </w14:solidFill>
                </w14:textFill>
              </w:rPr>
            </w:pPr>
          </w:p>
        </w:tc>
        <w:tc>
          <w:tcPr>
            <w:tcW w:w="1396" w:type="pct"/>
            <w:vMerge w:val="continue"/>
            <w:shd w:val="clear" w:color="auto" w:fill="auto"/>
            <w:vAlign w:val="center"/>
          </w:tcPr>
          <w:p w14:paraId="3A80301A">
            <w:pPr>
              <w:spacing w:line="560" w:lineRule="exact"/>
              <w:rPr>
                <w:rFonts w:ascii="仿宋_GB2312" w:hAnsi="仿宋_GB2312" w:eastAsia="仿宋_GB2312" w:cs="仿宋_GB2312"/>
                <w:color w:val="000000" w:themeColor="text1"/>
                <w:sz w:val="28"/>
                <w:szCs w:val="28"/>
                <w14:textFill>
                  <w14:solidFill>
                    <w14:schemeClr w14:val="tx1"/>
                  </w14:solidFill>
                </w14:textFill>
              </w:rPr>
            </w:pPr>
          </w:p>
        </w:tc>
        <w:tc>
          <w:tcPr>
            <w:tcW w:w="831" w:type="pct"/>
            <w:shd w:val="clear" w:color="auto" w:fill="auto"/>
            <w:vAlign w:val="center"/>
          </w:tcPr>
          <w:p w14:paraId="33D2A011">
            <w:pPr>
              <w:spacing w:line="56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7</w:t>
            </w:r>
            <w:r>
              <w:rPr>
                <w:rFonts w:ascii="仿宋_GB2312" w:hAnsi="仿宋_GB2312" w:eastAsia="仿宋_GB2312" w:cs="仿宋_GB2312"/>
                <w:color w:val="000000" w:themeColor="text1"/>
                <w:sz w:val="28"/>
                <w:szCs w:val="28"/>
                <w14:textFill>
                  <w14:solidFill>
                    <w14:schemeClr w14:val="tx1"/>
                  </w14:solidFill>
                </w14:textFill>
              </w:rPr>
              <w:t>.5</w:t>
            </w:r>
          </w:p>
        </w:tc>
        <w:tc>
          <w:tcPr>
            <w:tcW w:w="2192" w:type="pct"/>
            <w:shd w:val="clear" w:color="auto" w:fill="auto"/>
            <w:vAlign w:val="center"/>
          </w:tcPr>
          <w:p w14:paraId="692AFD25">
            <w:pPr>
              <w:spacing w:line="560" w:lineRule="exac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运营管理功能应用要求</w:t>
            </w:r>
          </w:p>
        </w:tc>
      </w:tr>
      <w:tr w14:paraId="18F50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81" w:type="pct"/>
            <w:shd w:val="clear" w:color="auto" w:fill="auto"/>
            <w:vAlign w:val="center"/>
          </w:tcPr>
          <w:p w14:paraId="5EABC326">
            <w:pPr>
              <w:spacing w:line="56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9</w:t>
            </w:r>
          </w:p>
        </w:tc>
        <w:tc>
          <w:tcPr>
            <w:tcW w:w="1396" w:type="pct"/>
            <w:shd w:val="clear" w:color="auto" w:fill="auto"/>
            <w:vAlign w:val="center"/>
          </w:tcPr>
          <w:p w14:paraId="56A9D2C5">
            <w:pPr>
              <w:spacing w:line="560" w:lineRule="exac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安全保障</w:t>
            </w:r>
          </w:p>
        </w:tc>
        <w:tc>
          <w:tcPr>
            <w:tcW w:w="831" w:type="pct"/>
            <w:shd w:val="clear" w:color="auto" w:fill="auto"/>
            <w:vAlign w:val="center"/>
          </w:tcPr>
          <w:p w14:paraId="2275DC12">
            <w:pPr>
              <w:spacing w:line="56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ascii="仿宋_GB2312" w:hAnsi="仿宋_GB2312" w:eastAsia="仿宋_GB2312" w:cs="仿宋_GB2312"/>
                <w:color w:val="000000" w:themeColor="text1"/>
                <w:sz w:val="28"/>
                <w:szCs w:val="28"/>
                <w14:textFill>
                  <w14:solidFill>
                    <w14:schemeClr w14:val="tx1"/>
                  </w14:solidFill>
                </w14:textFill>
              </w:rPr>
              <w:t>8.1</w:t>
            </w:r>
            <w:r>
              <w:rPr>
                <w:rFonts w:hint="eastAsia" w:ascii="仿宋_GB2312" w:hAnsi="仿宋_GB2312" w:eastAsia="仿宋_GB2312" w:cs="仿宋_GB2312"/>
                <w:color w:val="000000" w:themeColor="text1"/>
                <w:sz w:val="28"/>
                <w:szCs w:val="28"/>
                <w14:textFill>
                  <w14:solidFill>
                    <w14:schemeClr w14:val="tx1"/>
                  </w14:solidFill>
                </w14:textFill>
              </w:rPr>
              <w:t>—8</w:t>
            </w:r>
            <w:r>
              <w:rPr>
                <w:rFonts w:ascii="仿宋_GB2312" w:hAnsi="仿宋_GB2312" w:eastAsia="仿宋_GB2312" w:cs="仿宋_GB2312"/>
                <w:color w:val="000000" w:themeColor="text1"/>
                <w:sz w:val="28"/>
                <w:szCs w:val="28"/>
                <w14:textFill>
                  <w14:solidFill>
                    <w14:schemeClr w14:val="tx1"/>
                  </w14:solidFill>
                </w14:textFill>
              </w:rPr>
              <w:t>.4</w:t>
            </w:r>
          </w:p>
        </w:tc>
        <w:tc>
          <w:tcPr>
            <w:tcW w:w="2192" w:type="pct"/>
            <w:shd w:val="clear" w:color="auto" w:fill="auto"/>
            <w:vAlign w:val="center"/>
          </w:tcPr>
          <w:p w14:paraId="21B8D89B">
            <w:pPr>
              <w:spacing w:line="560" w:lineRule="exac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平台运行安全保障要求</w:t>
            </w:r>
          </w:p>
        </w:tc>
      </w:tr>
      <w:tr w14:paraId="67863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81" w:type="pct"/>
            <w:vMerge w:val="restart"/>
            <w:shd w:val="clear" w:color="auto" w:fill="auto"/>
            <w:vAlign w:val="center"/>
          </w:tcPr>
          <w:p w14:paraId="358A7C2B">
            <w:pPr>
              <w:spacing w:line="56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w:t>
            </w:r>
            <w:r>
              <w:rPr>
                <w:rFonts w:ascii="仿宋_GB2312" w:hAnsi="仿宋_GB2312" w:eastAsia="仿宋_GB2312" w:cs="仿宋_GB2312"/>
                <w:color w:val="000000" w:themeColor="text1"/>
                <w:sz w:val="28"/>
                <w:szCs w:val="28"/>
                <w14:textFill>
                  <w14:solidFill>
                    <w14:schemeClr w14:val="tx1"/>
                  </w14:solidFill>
                </w14:textFill>
              </w:rPr>
              <w:t>0</w:t>
            </w:r>
          </w:p>
        </w:tc>
        <w:tc>
          <w:tcPr>
            <w:tcW w:w="1396" w:type="pct"/>
            <w:vMerge w:val="restart"/>
            <w:shd w:val="clear" w:color="auto" w:fill="auto"/>
            <w:vAlign w:val="center"/>
          </w:tcPr>
          <w:p w14:paraId="7BA05FC3">
            <w:pPr>
              <w:spacing w:line="560" w:lineRule="exac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附录A</w:t>
            </w:r>
          </w:p>
        </w:tc>
        <w:tc>
          <w:tcPr>
            <w:tcW w:w="831" w:type="pct"/>
            <w:shd w:val="clear" w:color="auto" w:fill="auto"/>
            <w:vAlign w:val="center"/>
          </w:tcPr>
          <w:p w14:paraId="4D10C2A3">
            <w:pPr>
              <w:spacing w:line="56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A</w:t>
            </w:r>
            <w:r>
              <w:rPr>
                <w:rFonts w:ascii="仿宋_GB2312" w:hAnsi="仿宋_GB2312" w:eastAsia="仿宋_GB2312" w:cs="仿宋_GB2312"/>
                <w:color w:val="000000" w:themeColor="text1"/>
                <w:sz w:val="28"/>
                <w:szCs w:val="28"/>
                <w14:textFill>
                  <w14:solidFill>
                    <w14:schemeClr w14:val="tx1"/>
                  </w14:solidFill>
                </w14:textFill>
              </w:rPr>
              <w:t>.1</w:t>
            </w:r>
          </w:p>
        </w:tc>
        <w:tc>
          <w:tcPr>
            <w:tcW w:w="2192" w:type="pct"/>
            <w:shd w:val="clear" w:color="auto" w:fill="auto"/>
          </w:tcPr>
          <w:p w14:paraId="31B6F6CA">
            <w:pPr>
              <w:spacing w:line="560" w:lineRule="exac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账号管理流程及内容</w:t>
            </w:r>
          </w:p>
        </w:tc>
      </w:tr>
      <w:tr w14:paraId="748E8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81" w:type="pct"/>
            <w:vMerge w:val="continue"/>
            <w:shd w:val="clear" w:color="auto" w:fill="auto"/>
            <w:vAlign w:val="center"/>
          </w:tcPr>
          <w:p w14:paraId="21F0AB9A">
            <w:pPr>
              <w:spacing w:line="560" w:lineRule="exact"/>
              <w:jc w:val="center"/>
              <w:rPr>
                <w:rFonts w:ascii="仿宋_GB2312" w:hAnsi="仿宋_GB2312" w:eastAsia="仿宋_GB2312" w:cs="仿宋_GB2312"/>
                <w:color w:val="000000" w:themeColor="text1"/>
                <w:sz w:val="28"/>
                <w:szCs w:val="28"/>
                <w14:textFill>
                  <w14:solidFill>
                    <w14:schemeClr w14:val="tx1"/>
                  </w14:solidFill>
                </w14:textFill>
              </w:rPr>
            </w:pPr>
          </w:p>
        </w:tc>
        <w:tc>
          <w:tcPr>
            <w:tcW w:w="1396" w:type="pct"/>
            <w:vMerge w:val="continue"/>
            <w:shd w:val="clear" w:color="auto" w:fill="auto"/>
            <w:vAlign w:val="center"/>
          </w:tcPr>
          <w:p w14:paraId="0B24F5CE">
            <w:pPr>
              <w:spacing w:line="560" w:lineRule="exact"/>
              <w:rPr>
                <w:rFonts w:ascii="仿宋_GB2312" w:hAnsi="仿宋_GB2312" w:eastAsia="仿宋_GB2312" w:cs="仿宋_GB2312"/>
                <w:color w:val="000000" w:themeColor="text1"/>
                <w:sz w:val="28"/>
                <w:szCs w:val="28"/>
                <w14:textFill>
                  <w14:solidFill>
                    <w14:schemeClr w14:val="tx1"/>
                  </w14:solidFill>
                </w14:textFill>
              </w:rPr>
            </w:pPr>
          </w:p>
        </w:tc>
        <w:tc>
          <w:tcPr>
            <w:tcW w:w="831" w:type="pct"/>
            <w:shd w:val="clear" w:color="auto" w:fill="auto"/>
            <w:vAlign w:val="center"/>
          </w:tcPr>
          <w:p w14:paraId="39D508D1">
            <w:pPr>
              <w:spacing w:line="56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A</w:t>
            </w:r>
            <w:r>
              <w:rPr>
                <w:rFonts w:ascii="仿宋_GB2312" w:hAnsi="仿宋_GB2312" w:eastAsia="仿宋_GB2312" w:cs="仿宋_GB2312"/>
                <w:color w:val="000000" w:themeColor="text1"/>
                <w:sz w:val="28"/>
                <w:szCs w:val="28"/>
                <w14:textFill>
                  <w14:solidFill>
                    <w14:schemeClr w14:val="tx1"/>
                  </w14:solidFill>
                </w14:textFill>
              </w:rPr>
              <w:t>.2</w:t>
            </w:r>
          </w:p>
        </w:tc>
        <w:tc>
          <w:tcPr>
            <w:tcW w:w="2192" w:type="pct"/>
            <w:shd w:val="clear" w:color="auto" w:fill="auto"/>
          </w:tcPr>
          <w:p w14:paraId="1B70A3E9">
            <w:pPr>
              <w:spacing w:line="560" w:lineRule="exac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建设管理流程及内容</w:t>
            </w:r>
          </w:p>
        </w:tc>
      </w:tr>
      <w:tr w14:paraId="25D08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81" w:type="pct"/>
            <w:vMerge w:val="continue"/>
            <w:shd w:val="clear" w:color="auto" w:fill="auto"/>
            <w:vAlign w:val="center"/>
          </w:tcPr>
          <w:p w14:paraId="54B0E3FF">
            <w:pPr>
              <w:spacing w:line="560" w:lineRule="exact"/>
              <w:jc w:val="center"/>
              <w:rPr>
                <w:rFonts w:ascii="仿宋_GB2312" w:hAnsi="仿宋_GB2312" w:eastAsia="仿宋_GB2312" w:cs="仿宋_GB2312"/>
                <w:color w:val="000000" w:themeColor="text1"/>
                <w:sz w:val="28"/>
                <w:szCs w:val="28"/>
                <w14:textFill>
                  <w14:solidFill>
                    <w14:schemeClr w14:val="tx1"/>
                  </w14:solidFill>
                </w14:textFill>
              </w:rPr>
            </w:pPr>
          </w:p>
        </w:tc>
        <w:tc>
          <w:tcPr>
            <w:tcW w:w="1396" w:type="pct"/>
            <w:vMerge w:val="continue"/>
            <w:shd w:val="clear" w:color="auto" w:fill="auto"/>
            <w:vAlign w:val="center"/>
          </w:tcPr>
          <w:p w14:paraId="0089889F">
            <w:pPr>
              <w:spacing w:line="560" w:lineRule="exact"/>
              <w:rPr>
                <w:rFonts w:ascii="仿宋_GB2312" w:hAnsi="仿宋_GB2312" w:eastAsia="仿宋_GB2312" w:cs="仿宋_GB2312"/>
                <w:color w:val="000000" w:themeColor="text1"/>
                <w:sz w:val="28"/>
                <w:szCs w:val="28"/>
                <w14:textFill>
                  <w14:solidFill>
                    <w14:schemeClr w14:val="tx1"/>
                  </w14:solidFill>
                </w14:textFill>
              </w:rPr>
            </w:pPr>
          </w:p>
        </w:tc>
        <w:tc>
          <w:tcPr>
            <w:tcW w:w="831" w:type="pct"/>
            <w:shd w:val="clear" w:color="auto" w:fill="auto"/>
            <w:vAlign w:val="center"/>
          </w:tcPr>
          <w:p w14:paraId="58D95C42">
            <w:pPr>
              <w:spacing w:line="56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A</w:t>
            </w:r>
            <w:r>
              <w:rPr>
                <w:rFonts w:ascii="仿宋_GB2312" w:hAnsi="仿宋_GB2312" w:eastAsia="仿宋_GB2312" w:cs="仿宋_GB2312"/>
                <w:color w:val="000000" w:themeColor="text1"/>
                <w:sz w:val="28"/>
                <w:szCs w:val="28"/>
                <w14:textFill>
                  <w14:solidFill>
                    <w14:schemeClr w14:val="tx1"/>
                  </w14:solidFill>
                </w14:textFill>
              </w:rPr>
              <w:t>.3</w:t>
            </w:r>
          </w:p>
        </w:tc>
        <w:tc>
          <w:tcPr>
            <w:tcW w:w="2192" w:type="pct"/>
            <w:shd w:val="clear" w:color="auto" w:fill="auto"/>
          </w:tcPr>
          <w:p w14:paraId="62DA9E5F">
            <w:pPr>
              <w:spacing w:line="560" w:lineRule="exac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养护管理流程及内容</w:t>
            </w:r>
          </w:p>
        </w:tc>
      </w:tr>
      <w:tr w14:paraId="6EF93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81" w:type="pct"/>
            <w:vMerge w:val="continue"/>
            <w:shd w:val="clear" w:color="auto" w:fill="auto"/>
            <w:vAlign w:val="center"/>
          </w:tcPr>
          <w:p w14:paraId="177EF830">
            <w:pPr>
              <w:spacing w:line="560" w:lineRule="exact"/>
              <w:jc w:val="center"/>
              <w:rPr>
                <w:rFonts w:ascii="仿宋_GB2312" w:hAnsi="仿宋_GB2312" w:eastAsia="仿宋_GB2312" w:cs="仿宋_GB2312"/>
                <w:color w:val="000000" w:themeColor="text1"/>
                <w:sz w:val="28"/>
                <w:szCs w:val="28"/>
                <w14:textFill>
                  <w14:solidFill>
                    <w14:schemeClr w14:val="tx1"/>
                  </w14:solidFill>
                </w14:textFill>
              </w:rPr>
            </w:pPr>
          </w:p>
        </w:tc>
        <w:tc>
          <w:tcPr>
            <w:tcW w:w="1396" w:type="pct"/>
            <w:vMerge w:val="continue"/>
            <w:shd w:val="clear" w:color="auto" w:fill="auto"/>
            <w:vAlign w:val="center"/>
          </w:tcPr>
          <w:p w14:paraId="058E3D39">
            <w:pPr>
              <w:spacing w:line="560" w:lineRule="exact"/>
              <w:rPr>
                <w:rFonts w:ascii="仿宋_GB2312" w:hAnsi="仿宋_GB2312" w:eastAsia="仿宋_GB2312" w:cs="仿宋_GB2312"/>
                <w:color w:val="000000" w:themeColor="text1"/>
                <w:sz w:val="28"/>
                <w:szCs w:val="28"/>
                <w14:textFill>
                  <w14:solidFill>
                    <w14:schemeClr w14:val="tx1"/>
                  </w14:solidFill>
                </w14:textFill>
              </w:rPr>
            </w:pPr>
          </w:p>
        </w:tc>
        <w:tc>
          <w:tcPr>
            <w:tcW w:w="831" w:type="pct"/>
            <w:shd w:val="clear" w:color="auto" w:fill="auto"/>
            <w:vAlign w:val="center"/>
          </w:tcPr>
          <w:p w14:paraId="4E994C02">
            <w:pPr>
              <w:spacing w:line="56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 xml:space="preserve">A </w:t>
            </w:r>
            <w:r>
              <w:rPr>
                <w:rFonts w:ascii="仿宋_GB2312" w:hAnsi="仿宋_GB2312" w:eastAsia="仿宋_GB2312" w:cs="仿宋_GB2312"/>
                <w:color w:val="000000" w:themeColor="text1"/>
                <w:sz w:val="28"/>
                <w:szCs w:val="28"/>
                <w14:textFill>
                  <w14:solidFill>
                    <w14:schemeClr w14:val="tx1"/>
                  </w14:solidFill>
                </w14:textFill>
              </w:rPr>
              <w:t>.4</w:t>
            </w:r>
          </w:p>
        </w:tc>
        <w:tc>
          <w:tcPr>
            <w:tcW w:w="2192" w:type="pct"/>
            <w:shd w:val="clear" w:color="auto" w:fill="auto"/>
          </w:tcPr>
          <w:p w14:paraId="532AF64B">
            <w:pPr>
              <w:spacing w:line="560" w:lineRule="exac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综合管理流程及内容</w:t>
            </w:r>
          </w:p>
        </w:tc>
      </w:tr>
      <w:tr w14:paraId="4979A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81" w:type="pct"/>
            <w:vMerge w:val="continue"/>
            <w:shd w:val="clear" w:color="auto" w:fill="auto"/>
            <w:vAlign w:val="center"/>
          </w:tcPr>
          <w:p w14:paraId="28C4F1D6">
            <w:pPr>
              <w:spacing w:line="560" w:lineRule="exact"/>
              <w:jc w:val="center"/>
              <w:rPr>
                <w:rFonts w:ascii="仿宋_GB2312" w:hAnsi="仿宋_GB2312" w:eastAsia="仿宋_GB2312" w:cs="仿宋_GB2312"/>
                <w:color w:val="000000" w:themeColor="text1"/>
                <w:sz w:val="28"/>
                <w:szCs w:val="28"/>
                <w14:textFill>
                  <w14:solidFill>
                    <w14:schemeClr w14:val="tx1"/>
                  </w14:solidFill>
                </w14:textFill>
              </w:rPr>
            </w:pPr>
          </w:p>
        </w:tc>
        <w:tc>
          <w:tcPr>
            <w:tcW w:w="1396" w:type="pct"/>
            <w:vMerge w:val="continue"/>
            <w:shd w:val="clear" w:color="auto" w:fill="auto"/>
            <w:vAlign w:val="center"/>
          </w:tcPr>
          <w:p w14:paraId="34B60C95">
            <w:pPr>
              <w:spacing w:line="560" w:lineRule="exact"/>
              <w:rPr>
                <w:rFonts w:ascii="仿宋_GB2312" w:hAnsi="仿宋_GB2312" w:eastAsia="仿宋_GB2312" w:cs="仿宋_GB2312"/>
                <w:color w:val="000000" w:themeColor="text1"/>
                <w:sz w:val="28"/>
                <w:szCs w:val="28"/>
                <w14:textFill>
                  <w14:solidFill>
                    <w14:schemeClr w14:val="tx1"/>
                  </w14:solidFill>
                </w14:textFill>
              </w:rPr>
            </w:pPr>
          </w:p>
        </w:tc>
        <w:tc>
          <w:tcPr>
            <w:tcW w:w="831" w:type="pct"/>
            <w:shd w:val="clear" w:color="auto" w:fill="auto"/>
            <w:vAlign w:val="center"/>
          </w:tcPr>
          <w:p w14:paraId="0655CE76">
            <w:pPr>
              <w:spacing w:line="560" w:lineRule="exact"/>
              <w:jc w:val="center"/>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A</w:t>
            </w:r>
            <w:r>
              <w:rPr>
                <w:rFonts w:ascii="仿宋_GB2312" w:hAnsi="仿宋_GB2312" w:eastAsia="仿宋_GB2312" w:cs="仿宋_GB2312"/>
                <w:color w:val="000000" w:themeColor="text1"/>
                <w:sz w:val="28"/>
                <w:szCs w:val="28"/>
                <w14:textFill>
                  <w14:solidFill>
                    <w14:schemeClr w14:val="tx1"/>
                  </w14:solidFill>
                </w14:textFill>
              </w:rPr>
              <w:t>.5</w:t>
            </w:r>
          </w:p>
        </w:tc>
        <w:tc>
          <w:tcPr>
            <w:tcW w:w="2192" w:type="pct"/>
            <w:shd w:val="clear" w:color="auto" w:fill="auto"/>
          </w:tcPr>
          <w:p w14:paraId="2C7ED97E">
            <w:pPr>
              <w:spacing w:line="560" w:lineRule="exac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运营管理流程及内容</w:t>
            </w:r>
          </w:p>
        </w:tc>
      </w:tr>
    </w:tbl>
    <w:p w14:paraId="670E2F44">
      <w:pPr>
        <w:pStyle w:val="20"/>
        <w:ind w:firstLine="480" w:firstLineChars="150"/>
        <w:outlineLvl w:val="0"/>
        <w:rPr>
          <w:rFonts w:hint="eastAsia" w:ascii="黑体" w:hAnsi="黑体" w:eastAsia="黑体" w:cs="仿宋_GB2312"/>
          <w:sz w:val="32"/>
          <w:szCs w:val="32"/>
        </w:rPr>
      </w:pPr>
    </w:p>
    <w:p w14:paraId="450798AB">
      <w:pPr>
        <w:pStyle w:val="20"/>
        <w:ind w:firstLine="480" w:firstLineChars="150"/>
        <w:outlineLvl w:val="0"/>
        <w:rPr>
          <w:rFonts w:ascii="黑体" w:hAnsi="黑体" w:eastAsia="黑体" w:cs="仿宋_GB2312"/>
          <w:sz w:val="32"/>
          <w:szCs w:val="32"/>
        </w:rPr>
      </w:pPr>
      <w:r>
        <w:rPr>
          <w:rFonts w:hint="eastAsia" w:ascii="黑体" w:hAnsi="黑体" w:eastAsia="黑体" w:cs="仿宋_GB2312"/>
          <w:sz w:val="32"/>
          <w:szCs w:val="32"/>
        </w:rPr>
        <w:t>六、国内同类标准制修订情况及与法律法规、强制性标准关系</w:t>
      </w:r>
    </w:p>
    <w:p w14:paraId="25C44E65">
      <w:pPr>
        <w:autoSpaceDE w:val="0"/>
        <w:autoSpaceDN w:val="0"/>
        <w:adjustRightInd w:val="0"/>
        <w:ind w:firstLine="560" w:firstLineChars="200"/>
        <w:jc w:val="left"/>
        <w:rPr>
          <w:rFonts w:ascii="仿宋_GB2312" w:eastAsia="仿宋_GB2312"/>
          <w:sz w:val="28"/>
          <w:szCs w:val="28"/>
        </w:rPr>
      </w:pPr>
      <w:bookmarkStart w:id="2" w:name="_Toc526940086"/>
      <w:r>
        <w:rPr>
          <w:rFonts w:hint="eastAsia" w:ascii="仿宋_GB2312" w:hAnsi="宋体" w:eastAsia="仿宋_GB2312"/>
          <w:sz w:val="28"/>
          <w:szCs w:val="28"/>
        </w:rPr>
        <w:t>经国内多个标准信息服务平台查询，无类似的农村公路管理信息化平台应用管理方面的国家标准与行业标准，本文件首次提出制定农村公路管理信息平台应用方面的标准，与农村公路其他相关标准协调一致，补充完善了交通运输标准体系，具有一定的创新性。</w:t>
      </w:r>
    </w:p>
    <w:p w14:paraId="725ADF47">
      <w:pPr>
        <w:autoSpaceDE w:val="0"/>
        <w:autoSpaceDN w:val="0"/>
        <w:adjustRightInd w:val="0"/>
        <w:ind w:firstLine="560" w:firstLineChars="200"/>
        <w:jc w:val="left"/>
        <w:rPr>
          <w:rFonts w:ascii="仿宋_GB2312" w:hAnsi="宋体" w:eastAsia="仿宋_GB2312"/>
          <w:sz w:val="28"/>
          <w:szCs w:val="28"/>
        </w:rPr>
      </w:pPr>
      <w:r>
        <w:rPr>
          <w:rFonts w:hint="eastAsia" w:ascii="仿宋_GB2312" w:hAnsi="宋体" w:eastAsia="仿宋_GB2312"/>
          <w:sz w:val="28"/>
          <w:szCs w:val="28"/>
        </w:rPr>
        <w:t>本标准（征求意见稿）的制定是遵循《中华人民共和国标准化法》等国家相关的法规和强制性标准，结合地方实际情况制定出来的，与现行的法律、法规及强制性标准无冲突。</w:t>
      </w:r>
    </w:p>
    <w:p w14:paraId="1030994E">
      <w:pPr>
        <w:autoSpaceDE w:val="0"/>
        <w:autoSpaceDN w:val="0"/>
        <w:adjustRightInd w:val="0"/>
        <w:ind w:firstLine="560" w:firstLineChars="200"/>
        <w:jc w:val="left"/>
        <w:rPr>
          <w:rFonts w:ascii="仿宋_GB2312" w:hAnsi="宋体" w:eastAsia="仿宋_GB2312"/>
          <w:sz w:val="28"/>
          <w:szCs w:val="28"/>
        </w:rPr>
      </w:pPr>
      <w:r>
        <w:rPr>
          <w:rFonts w:hint="eastAsia" w:ascii="仿宋_GB2312" w:hAnsi="宋体" w:eastAsia="仿宋_GB2312"/>
          <w:sz w:val="28"/>
          <w:szCs w:val="28"/>
        </w:rPr>
        <w:t>综上所述，以上标准内未见与本项目关键词完全符合的标准。</w:t>
      </w:r>
    </w:p>
    <w:p w14:paraId="59A532A9">
      <w:pPr>
        <w:autoSpaceDE w:val="0"/>
        <w:autoSpaceDN w:val="0"/>
        <w:adjustRightInd w:val="0"/>
        <w:ind w:firstLine="640" w:firstLineChars="200"/>
        <w:jc w:val="left"/>
        <w:outlineLvl w:val="0"/>
        <w:rPr>
          <w:rFonts w:ascii="黑体" w:hAnsi="黑体" w:eastAsia="黑体" w:cs="仿宋_GB2312"/>
          <w:sz w:val="32"/>
          <w:szCs w:val="32"/>
        </w:rPr>
      </w:pPr>
      <w:r>
        <w:rPr>
          <w:rFonts w:hint="eastAsia" w:ascii="黑体" w:hAnsi="黑体" w:eastAsia="黑体" w:cs="仿宋_GB2312"/>
          <w:sz w:val="32"/>
          <w:szCs w:val="32"/>
        </w:rPr>
        <w:t>七、标准实施预期的效果</w:t>
      </w:r>
      <w:bookmarkEnd w:id="2"/>
    </w:p>
    <w:p w14:paraId="614F19DA">
      <w:pPr>
        <w:autoSpaceDE w:val="0"/>
        <w:autoSpaceDN w:val="0"/>
        <w:adjustRightInd w:val="0"/>
        <w:ind w:firstLine="560" w:firstLineChars="200"/>
        <w:jc w:val="left"/>
        <w:rPr>
          <w:rFonts w:hint="eastAsia" w:ascii="仿宋_GB2312" w:hAnsi="宋体" w:eastAsia="仿宋_GB2312"/>
          <w:sz w:val="28"/>
          <w:szCs w:val="28"/>
        </w:rPr>
      </w:pPr>
      <w:r>
        <w:rPr>
          <w:rFonts w:hint="eastAsia" w:ascii="仿宋_GB2312" w:hAnsi="宋体" w:eastAsia="仿宋_GB2312"/>
          <w:sz w:val="28"/>
          <w:szCs w:val="28"/>
        </w:rPr>
        <w:t>通过柳州市标准技术协会团体标准《农村公路管理信息平台应用管理规范》的制定实施，将明确各层级部门的职责分工，规范信息平台的使用权责，通过标准化手段有效的管理信息平台用使用流程，确保农村公路信息化建设形成闭环，保障农村公路管理工作的效率和工作质量，促进农村公路信息化建设的健康发展，从而进一步加强全市农村公路建、管、养等业务信息化管理水平。《农村公路管理信息平台应用管理规范》柳州市</w:t>
      </w:r>
      <w:r>
        <w:rPr>
          <w:rFonts w:hint="eastAsia" w:ascii="仿宋_GB2312" w:hAnsi="宋体" w:eastAsia="仿宋_GB2312"/>
          <w:sz w:val="28"/>
          <w:szCs w:val="28"/>
          <w:lang w:val="en-US" w:eastAsia="zh-CN"/>
        </w:rPr>
        <w:t>团体</w:t>
      </w:r>
      <w:r>
        <w:rPr>
          <w:rFonts w:hint="eastAsia" w:ascii="仿宋_GB2312" w:hAnsi="宋体" w:eastAsia="仿宋_GB2312"/>
          <w:sz w:val="28"/>
          <w:szCs w:val="28"/>
        </w:rPr>
        <w:t>标准的研制，可让农村公路管理标准体系更加完善。</w:t>
      </w:r>
    </w:p>
    <w:p w14:paraId="73773148">
      <w:pPr>
        <w:autoSpaceDE w:val="0"/>
        <w:autoSpaceDN w:val="0"/>
        <w:adjustRightInd w:val="0"/>
        <w:ind w:firstLine="640" w:firstLineChars="200"/>
        <w:jc w:val="left"/>
        <w:outlineLvl w:val="0"/>
        <w:rPr>
          <w:rFonts w:ascii="黑体" w:hAnsi="黑体" w:eastAsia="黑体" w:cs="仿宋_GB2312"/>
          <w:sz w:val="32"/>
          <w:szCs w:val="32"/>
        </w:rPr>
      </w:pPr>
      <w:r>
        <w:rPr>
          <w:rFonts w:hint="eastAsia" w:ascii="黑体" w:hAnsi="黑体" w:eastAsia="黑体" w:cs="仿宋_GB2312"/>
          <w:sz w:val="32"/>
          <w:szCs w:val="32"/>
        </w:rPr>
        <w:t>八、重大分歧意见的处理经过和依据</w:t>
      </w:r>
    </w:p>
    <w:p w14:paraId="28B9C3A8">
      <w:pPr>
        <w:ind w:firstLine="560" w:firstLineChars="200"/>
        <w:rPr>
          <w:rFonts w:ascii="仿宋_GB2312" w:hAnsi="宋体" w:eastAsia="仿宋_GB2312"/>
          <w:sz w:val="28"/>
          <w:szCs w:val="28"/>
        </w:rPr>
      </w:pPr>
      <w:r>
        <w:rPr>
          <w:rFonts w:hint="eastAsia" w:ascii="仿宋_GB2312" w:hAnsi="宋体" w:eastAsia="仿宋_GB2312"/>
          <w:sz w:val="28"/>
          <w:szCs w:val="28"/>
        </w:rPr>
        <w:t>本标准研制过程中无重大分歧意见。</w:t>
      </w:r>
    </w:p>
    <w:p w14:paraId="69391126">
      <w:pPr>
        <w:autoSpaceDE w:val="0"/>
        <w:autoSpaceDN w:val="0"/>
        <w:adjustRightInd w:val="0"/>
        <w:spacing w:before="156" w:beforeLines="50" w:after="156" w:afterLines="50" w:line="520" w:lineRule="exact"/>
        <w:ind w:firstLine="640" w:firstLineChars="200"/>
        <w:jc w:val="left"/>
        <w:outlineLvl w:val="0"/>
        <w:rPr>
          <w:rFonts w:ascii="黑体" w:hAnsi="黑体" w:eastAsia="黑体" w:cs="仿宋_GB2312"/>
          <w:sz w:val="32"/>
          <w:szCs w:val="32"/>
        </w:rPr>
      </w:pPr>
      <w:r>
        <w:rPr>
          <w:rFonts w:hint="eastAsia" w:ascii="黑体" w:hAnsi="黑体" w:eastAsia="黑体" w:cs="仿宋_GB2312"/>
          <w:sz w:val="32"/>
          <w:szCs w:val="32"/>
        </w:rPr>
        <w:t>九、自我承诺</w:t>
      </w:r>
    </w:p>
    <w:p w14:paraId="7896165F">
      <w:pPr>
        <w:spacing w:line="520" w:lineRule="exact"/>
        <w:ind w:firstLine="560" w:firstLineChars="200"/>
        <w:rPr>
          <w:rFonts w:ascii="仿宋_GB2312" w:hAnsi="宋体" w:eastAsia="仿宋_GB2312"/>
          <w:sz w:val="28"/>
          <w:szCs w:val="28"/>
        </w:rPr>
      </w:pPr>
      <w:r>
        <w:rPr>
          <w:rFonts w:hint="eastAsia" w:ascii="仿宋_GB2312" w:hAnsi="宋体" w:eastAsia="仿宋_GB2312"/>
          <w:sz w:val="28"/>
          <w:szCs w:val="28"/>
        </w:rPr>
        <w:t>本标准内容与各项指标不低于国家强制性标准、推荐性国家标准和行业标准。</w:t>
      </w:r>
    </w:p>
    <w:p w14:paraId="22B8162A">
      <w:pPr>
        <w:jc w:val="right"/>
        <w:rPr>
          <w:rFonts w:ascii="仿宋_GB2312" w:hAnsi="仿宋" w:eastAsia="仿宋_GB2312" w:cs="黑体"/>
          <w:sz w:val="28"/>
          <w:szCs w:val="28"/>
        </w:rPr>
      </w:pPr>
      <w:r>
        <w:rPr>
          <w:rFonts w:hint="eastAsia" w:ascii="仿宋_GB2312" w:hAnsi="黑体" w:eastAsia="仿宋_GB2312" w:cs="黑体"/>
          <w:sz w:val="28"/>
          <w:szCs w:val="28"/>
        </w:rPr>
        <w:t>柳州市标准技术协会团体标准《农村公路管理信息平台应用管理规范》</w:t>
      </w:r>
    </w:p>
    <w:p w14:paraId="3A9EAD9D">
      <w:pPr>
        <w:rPr>
          <w:rFonts w:ascii="仿宋_GB2312" w:hAnsi="仿宋" w:eastAsia="仿宋_GB2312" w:cs="黑体"/>
          <w:sz w:val="28"/>
          <w:szCs w:val="28"/>
        </w:rPr>
      </w:pPr>
      <w:r>
        <w:rPr>
          <w:rFonts w:hint="eastAsia" w:ascii="仿宋_GB2312" w:hAnsi="仿宋" w:eastAsia="仿宋_GB2312" w:cs="黑体"/>
          <w:sz w:val="28"/>
          <w:szCs w:val="28"/>
        </w:rPr>
        <w:t xml:space="preserve">                                      </w:t>
      </w:r>
      <w:bookmarkStart w:id="3" w:name="OLE_LINK14"/>
      <w:bookmarkStart w:id="4" w:name="OLE_LINK13"/>
      <w:r>
        <w:rPr>
          <w:rFonts w:hint="eastAsia" w:ascii="仿宋_GB2312" w:hAnsi="仿宋" w:eastAsia="仿宋_GB2312" w:cs="黑体"/>
          <w:sz w:val="28"/>
          <w:szCs w:val="28"/>
        </w:rPr>
        <w:t>标准编制工作组</w:t>
      </w:r>
      <w:bookmarkEnd w:id="3"/>
      <w:bookmarkEnd w:id="4"/>
    </w:p>
    <w:p w14:paraId="430B1441">
      <w:pPr>
        <w:rPr>
          <w:rFonts w:ascii="仿宋_GB2312" w:hAnsi="仿宋" w:eastAsia="仿宋_GB2312" w:cs="黑体"/>
          <w:sz w:val="28"/>
          <w:szCs w:val="28"/>
        </w:rPr>
      </w:pPr>
      <w:r>
        <w:rPr>
          <w:rFonts w:hint="eastAsia" w:ascii="仿宋_GB2312" w:hAnsi="仿宋" w:eastAsia="仿宋_GB2312" w:cs="黑体"/>
          <w:sz w:val="28"/>
          <w:szCs w:val="28"/>
        </w:rPr>
        <w:t xml:space="preserve">                                     </w:t>
      </w:r>
      <w:r>
        <w:rPr>
          <w:rFonts w:hint="eastAsia" w:ascii="仿宋_GB2312" w:hAnsi="仿宋" w:eastAsia="仿宋_GB2312" w:cs="黑体"/>
          <w:sz w:val="28"/>
          <w:szCs w:val="28"/>
          <w:lang w:val="en-US" w:eastAsia="zh-CN"/>
        </w:rPr>
        <w:t>2026</w:t>
      </w:r>
      <w:r>
        <w:rPr>
          <w:rFonts w:hint="eastAsia" w:ascii="仿宋_GB2312" w:hAnsi="仿宋" w:eastAsia="仿宋_GB2312" w:cs="黑体"/>
          <w:sz w:val="28"/>
          <w:szCs w:val="28"/>
        </w:rPr>
        <w:t>年</w:t>
      </w:r>
      <w:r>
        <w:rPr>
          <w:rFonts w:hint="eastAsia" w:ascii="仿宋_GB2312" w:hAnsi="仿宋" w:eastAsia="仿宋_GB2312" w:cs="黑体"/>
          <w:sz w:val="28"/>
          <w:szCs w:val="28"/>
          <w:lang w:val="en-US" w:eastAsia="zh-CN"/>
        </w:rPr>
        <w:t>3</w:t>
      </w:r>
      <w:r>
        <w:rPr>
          <w:rFonts w:hint="eastAsia" w:ascii="仿宋_GB2312" w:hAnsi="仿宋" w:eastAsia="仿宋_GB2312" w:cs="黑体"/>
          <w:sz w:val="28"/>
          <w:szCs w:val="28"/>
        </w:rPr>
        <w:t>月</w:t>
      </w:r>
      <w:r>
        <w:rPr>
          <w:rFonts w:hint="eastAsia" w:ascii="仿宋_GB2312" w:hAnsi="仿宋" w:eastAsia="仿宋_GB2312" w:cs="黑体"/>
          <w:sz w:val="28"/>
          <w:szCs w:val="28"/>
          <w:lang w:val="en-US" w:eastAsia="zh-CN"/>
        </w:rPr>
        <w:t>12</w:t>
      </w:r>
      <w:r>
        <w:rPr>
          <w:rFonts w:hint="eastAsia" w:ascii="仿宋_GB2312" w:hAnsi="仿宋" w:eastAsia="仿宋_GB2312" w:cs="黑体"/>
          <w:sz w:val="28"/>
          <w:szCs w:val="28"/>
        </w:rPr>
        <w:t>日</w:t>
      </w:r>
    </w:p>
    <w:sectPr>
      <w:headerReference r:id="rId3" w:type="default"/>
      <w:footerReference r:id="rId4" w:type="default"/>
      <w:pgSz w:w="11906" w:h="16838"/>
      <w:pgMar w:top="1474" w:right="1418" w:bottom="1474"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34896897"/>
      <w:docPartObj>
        <w:docPartGallery w:val="autotext"/>
      </w:docPartObj>
    </w:sdtPr>
    <w:sdtContent>
      <w:p w14:paraId="1784B465">
        <w:pPr>
          <w:pStyle w:val="7"/>
          <w:jc w:val="center"/>
        </w:pPr>
        <w:r>
          <w:fldChar w:fldCharType="begin"/>
        </w:r>
        <w:r>
          <w:instrText xml:space="preserve">PAGE   \* MERGEFORMAT</w:instrText>
        </w:r>
        <w:r>
          <w:fldChar w:fldCharType="separate"/>
        </w:r>
        <w:r>
          <w:rPr>
            <w:lang w:val="zh-CN"/>
          </w:rPr>
          <w:t>5</w:t>
        </w:r>
        <w:r>
          <w:fldChar w:fldCharType="end"/>
        </w:r>
      </w:p>
    </w:sdtContent>
  </w:sdt>
  <w:p w14:paraId="2257D9A3">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C211E">
    <w:pPr>
      <w:spacing w:line="14" w:lineRule="auto"/>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AE237B"/>
    <w:multiLevelType w:val="multilevel"/>
    <w:tmpl w:val="E8AE237B"/>
    <w:lvl w:ilvl="0" w:tentative="0">
      <w:start w:val="1"/>
      <w:numFmt w:val="decimal"/>
      <w:pStyle w:val="5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5"/>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
    <w:nsid w:val="079102AD"/>
    <w:multiLevelType w:val="multilevel"/>
    <w:tmpl w:val="079102AD"/>
    <w:lvl w:ilvl="0" w:tentative="0">
      <w:start w:val="1"/>
      <w:numFmt w:val="decimal"/>
      <w:pStyle w:val="27"/>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1FC91163"/>
    <w:multiLevelType w:val="multilevel"/>
    <w:tmpl w:val="1FC91163"/>
    <w:lvl w:ilvl="0" w:tentative="0">
      <w:start w:val="1"/>
      <w:numFmt w:val="decimal"/>
      <w:pStyle w:val="26"/>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9"/>
      <w:suff w:val="nothing"/>
      <w:lvlText w:val="%1.%2　"/>
      <w:lvlJc w:val="left"/>
      <w:pPr>
        <w:ind w:left="525"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18"/>
      <w:suff w:val="nothing"/>
      <w:lvlText w:val="%1.%2.%3　"/>
      <w:lvlJc w:val="left"/>
      <w:pPr>
        <w:ind w:left="0" w:firstLine="0"/>
      </w:pPr>
      <w:rPr>
        <w:rFonts w:hint="eastAsia" w:ascii="黑体" w:hAnsi="Times New Roman" w:eastAsia="黑体"/>
        <w:b w:val="0"/>
        <w:i w:val="0"/>
        <w:sz w:val="21"/>
      </w:rPr>
    </w:lvl>
    <w:lvl w:ilvl="3" w:tentative="0">
      <w:start w:val="1"/>
      <w:numFmt w:val="decimal"/>
      <w:pStyle w:val="17"/>
      <w:suff w:val="nothing"/>
      <w:lvlText w:val="%1.%2.%3.%4　"/>
      <w:lvlJc w:val="left"/>
      <w:pPr>
        <w:ind w:left="0" w:firstLine="0"/>
      </w:pPr>
      <w:rPr>
        <w:rFonts w:hint="eastAsia" w:ascii="黑体" w:hAnsi="Times New Roman" w:eastAsia="黑体"/>
        <w:b w:val="0"/>
        <w:i w:val="0"/>
        <w:sz w:val="21"/>
      </w:rPr>
    </w:lvl>
    <w:lvl w:ilvl="4" w:tentative="0">
      <w:start w:val="1"/>
      <w:numFmt w:val="decimal"/>
      <w:pStyle w:val="16"/>
      <w:suff w:val="nothing"/>
      <w:lvlText w:val="%1.%2.%3.%4.%5　"/>
      <w:lvlJc w:val="left"/>
      <w:pPr>
        <w:ind w:left="0" w:firstLine="0"/>
      </w:pPr>
      <w:rPr>
        <w:rFonts w:hint="eastAsia" w:ascii="黑体" w:hAnsi="Times New Roman" w:eastAsia="黑体"/>
        <w:b w:val="0"/>
        <w:i w:val="0"/>
        <w:sz w:val="21"/>
      </w:rPr>
    </w:lvl>
    <w:lvl w:ilvl="5" w:tentative="0">
      <w:start w:val="1"/>
      <w:numFmt w:val="decimal"/>
      <w:pStyle w:val="15"/>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2A8F7113"/>
    <w:multiLevelType w:val="multilevel"/>
    <w:tmpl w:val="2A8F7113"/>
    <w:lvl w:ilvl="0" w:tentative="0">
      <w:start w:val="1"/>
      <w:numFmt w:val="upperLetter"/>
      <w:pStyle w:val="21"/>
      <w:suff w:val="space"/>
      <w:lvlText w:val="%1"/>
      <w:lvlJc w:val="left"/>
      <w:pPr>
        <w:ind w:left="623" w:hanging="425"/>
      </w:pPr>
      <w:rPr>
        <w:rFonts w:hint="eastAsia"/>
      </w:rPr>
    </w:lvl>
    <w:lvl w:ilvl="1" w:tentative="0">
      <w:start w:val="1"/>
      <w:numFmt w:val="decimal"/>
      <w:pStyle w:val="22"/>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4">
    <w:nsid w:val="557C2AF5"/>
    <w:multiLevelType w:val="multilevel"/>
    <w:tmpl w:val="557C2AF5"/>
    <w:lvl w:ilvl="0" w:tentative="0">
      <w:start w:val="1"/>
      <w:numFmt w:val="decimal"/>
      <w:pStyle w:val="28"/>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23"/>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6">
    <w:nsid w:val="646260FA"/>
    <w:multiLevelType w:val="multilevel"/>
    <w:tmpl w:val="646260FA"/>
    <w:lvl w:ilvl="0" w:tentative="0">
      <w:start w:val="1"/>
      <w:numFmt w:val="decimal"/>
      <w:pStyle w:val="24"/>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2"/>
  </w:num>
  <w:num w:numId="2">
    <w:abstractNumId w:val="3"/>
  </w:num>
  <w:num w:numId="3">
    <w:abstractNumId w:val="5"/>
  </w:num>
  <w:num w:numId="4">
    <w:abstractNumId w:val="6"/>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zYTVkZjdmOGI4NWYwZDE1Zjk3Mjg2YmU1MTlhYzYifQ=="/>
  </w:docVars>
  <w:rsids>
    <w:rsidRoot w:val="0042062E"/>
    <w:rsid w:val="00002AB5"/>
    <w:rsid w:val="00011411"/>
    <w:rsid w:val="0001541D"/>
    <w:rsid w:val="00016055"/>
    <w:rsid w:val="00021104"/>
    <w:rsid w:val="00023B4A"/>
    <w:rsid w:val="00024212"/>
    <w:rsid w:val="00024664"/>
    <w:rsid w:val="00024C32"/>
    <w:rsid w:val="000267B1"/>
    <w:rsid w:val="00030436"/>
    <w:rsid w:val="00031247"/>
    <w:rsid w:val="00033B64"/>
    <w:rsid w:val="00034233"/>
    <w:rsid w:val="00034BDB"/>
    <w:rsid w:val="00037FA0"/>
    <w:rsid w:val="000439C5"/>
    <w:rsid w:val="0006396F"/>
    <w:rsid w:val="00064AFD"/>
    <w:rsid w:val="00073031"/>
    <w:rsid w:val="000750BE"/>
    <w:rsid w:val="00080718"/>
    <w:rsid w:val="00085BEA"/>
    <w:rsid w:val="00090537"/>
    <w:rsid w:val="0009177A"/>
    <w:rsid w:val="00093E74"/>
    <w:rsid w:val="000973C9"/>
    <w:rsid w:val="000A0201"/>
    <w:rsid w:val="000A4601"/>
    <w:rsid w:val="000A64C4"/>
    <w:rsid w:val="000A6716"/>
    <w:rsid w:val="000A77CD"/>
    <w:rsid w:val="000B2D8F"/>
    <w:rsid w:val="000B4F43"/>
    <w:rsid w:val="000C2999"/>
    <w:rsid w:val="000C2F5F"/>
    <w:rsid w:val="000C7EAF"/>
    <w:rsid w:val="000D136E"/>
    <w:rsid w:val="000D1951"/>
    <w:rsid w:val="000D2643"/>
    <w:rsid w:val="000D5463"/>
    <w:rsid w:val="000D6612"/>
    <w:rsid w:val="000D7374"/>
    <w:rsid w:val="000E769A"/>
    <w:rsid w:val="000F040B"/>
    <w:rsid w:val="000F3365"/>
    <w:rsid w:val="000F7869"/>
    <w:rsid w:val="0010088E"/>
    <w:rsid w:val="001029B9"/>
    <w:rsid w:val="00104B83"/>
    <w:rsid w:val="00114946"/>
    <w:rsid w:val="001172A0"/>
    <w:rsid w:val="0012221F"/>
    <w:rsid w:val="00124BDB"/>
    <w:rsid w:val="00125FE1"/>
    <w:rsid w:val="00131E01"/>
    <w:rsid w:val="001454D1"/>
    <w:rsid w:val="001472B1"/>
    <w:rsid w:val="001474DF"/>
    <w:rsid w:val="0015270A"/>
    <w:rsid w:val="001606D1"/>
    <w:rsid w:val="00162A50"/>
    <w:rsid w:val="001630D1"/>
    <w:rsid w:val="001638FC"/>
    <w:rsid w:val="001639F1"/>
    <w:rsid w:val="00164265"/>
    <w:rsid w:val="00165926"/>
    <w:rsid w:val="0017366B"/>
    <w:rsid w:val="00181B5D"/>
    <w:rsid w:val="00184DD6"/>
    <w:rsid w:val="001923CF"/>
    <w:rsid w:val="001A04D3"/>
    <w:rsid w:val="001A0E4B"/>
    <w:rsid w:val="001A442E"/>
    <w:rsid w:val="001A4FE8"/>
    <w:rsid w:val="001C33D5"/>
    <w:rsid w:val="001C5F01"/>
    <w:rsid w:val="001C793C"/>
    <w:rsid w:val="001D14D7"/>
    <w:rsid w:val="001D21A4"/>
    <w:rsid w:val="001D4DAB"/>
    <w:rsid w:val="001D7816"/>
    <w:rsid w:val="001F0F63"/>
    <w:rsid w:val="001F4242"/>
    <w:rsid w:val="001F660A"/>
    <w:rsid w:val="0020345B"/>
    <w:rsid w:val="00205603"/>
    <w:rsid w:val="002116FB"/>
    <w:rsid w:val="00217F8F"/>
    <w:rsid w:val="002223DD"/>
    <w:rsid w:val="002268A0"/>
    <w:rsid w:val="002335C2"/>
    <w:rsid w:val="00234969"/>
    <w:rsid w:val="00235285"/>
    <w:rsid w:val="002357DB"/>
    <w:rsid w:val="0024414F"/>
    <w:rsid w:val="00244ADA"/>
    <w:rsid w:val="002465C7"/>
    <w:rsid w:val="0025321C"/>
    <w:rsid w:val="00262753"/>
    <w:rsid w:val="00264A7D"/>
    <w:rsid w:val="002662DB"/>
    <w:rsid w:val="002701A3"/>
    <w:rsid w:val="00274ABF"/>
    <w:rsid w:val="002768F4"/>
    <w:rsid w:val="00283085"/>
    <w:rsid w:val="0029084D"/>
    <w:rsid w:val="00292D3C"/>
    <w:rsid w:val="002B34EA"/>
    <w:rsid w:val="002B7C2C"/>
    <w:rsid w:val="002C2282"/>
    <w:rsid w:val="002C73B6"/>
    <w:rsid w:val="002D04D5"/>
    <w:rsid w:val="002D2312"/>
    <w:rsid w:val="002D3273"/>
    <w:rsid w:val="002E073F"/>
    <w:rsid w:val="002E17AF"/>
    <w:rsid w:val="002F0FAF"/>
    <w:rsid w:val="002F1D2C"/>
    <w:rsid w:val="002F21A9"/>
    <w:rsid w:val="002F4460"/>
    <w:rsid w:val="00300EDC"/>
    <w:rsid w:val="00303E23"/>
    <w:rsid w:val="00310912"/>
    <w:rsid w:val="00313CD9"/>
    <w:rsid w:val="00314DAC"/>
    <w:rsid w:val="003170B1"/>
    <w:rsid w:val="00331C9C"/>
    <w:rsid w:val="0033568D"/>
    <w:rsid w:val="00336FB4"/>
    <w:rsid w:val="0034189D"/>
    <w:rsid w:val="00343C24"/>
    <w:rsid w:val="003478B0"/>
    <w:rsid w:val="00351136"/>
    <w:rsid w:val="00355583"/>
    <w:rsid w:val="00362F10"/>
    <w:rsid w:val="00376BB8"/>
    <w:rsid w:val="003821B3"/>
    <w:rsid w:val="0038467E"/>
    <w:rsid w:val="00386CCB"/>
    <w:rsid w:val="00387EC4"/>
    <w:rsid w:val="003A1120"/>
    <w:rsid w:val="003A6D5F"/>
    <w:rsid w:val="003B4114"/>
    <w:rsid w:val="003C02F1"/>
    <w:rsid w:val="003C137D"/>
    <w:rsid w:val="003C13F3"/>
    <w:rsid w:val="003C6885"/>
    <w:rsid w:val="003C78B7"/>
    <w:rsid w:val="003D3679"/>
    <w:rsid w:val="003D5A8A"/>
    <w:rsid w:val="003D5CB5"/>
    <w:rsid w:val="003E6589"/>
    <w:rsid w:val="003E74E7"/>
    <w:rsid w:val="003F28D0"/>
    <w:rsid w:val="003F3119"/>
    <w:rsid w:val="003F4E82"/>
    <w:rsid w:val="0040035D"/>
    <w:rsid w:val="00401114"/>
    <w:rsid w:val="00406D12"/>
    <w:rsid w:val="0042062E"/>
    <w:rsid w:val="00422300"/>
    <w:rsid w:val="00424FCB"/>
    <w:rsid w:val="00425860"/>
    <w:rsid w:val="00426672"/>
    <w:rsid w:val="00430C32"/>
    <w:rsid w:val="004330B1"/>
    <w:rsid w:val="00434E46"/>
    <w:rsid w:val="00437192"/>
    <w:rsid w:val="00442B11"/>
    <w:rsid w:val="00446004"/>
    <w:rsid w:val="00446249"/>
    <w:rsid w:val="004503F4"/>
    <w:rsid w:val="00451379"/>
    <w:rsid w:val="0046025A"/>
    <w:rsid w:val="004605D8"/>
    <w:rsid w:val="00461B2A"/>
    <w:rsid w:val="004626AF"/>
    <w:rsid w:val="00463883"/>
    <w:rsid w:val="00474B2B"/>
    <w:rsid w:val="004765BE"/>
    <w:rsid w:val="004805D0"/>
    <w:rsid w:val="00482055"/>
    <w:rsid w:val="0048357F"/>
    <w:rsid w:val="00484EF3"/>
    <w:rsid w:val="004865C9"/>
    <w:rsid w:val="0049011A"/>
    <w:rsid w:val="00491E0D"/>
    <w:rsid w:val="0049390C"/>
    <w:rsid w:val="00496A1A"/>
    <w:rsid w:val="004A76AB"/>
    <w:rsid w:val="004B013D"/>
    <w:rsid w:val="004B18A5"/>
    <w:rsid w:val="004B2AC0"/>
    <w:rsid w:val="004B4F2A"/>
    <w:rsid w:val="004B551C"/>
    <w:rsid w:val="004C007F"/>
    <w:rsid w:val="004C4136"/>
    <w:rsid w:val="004C4623"/>
    <w:rsid w:val="004C6896"/>
    <w:rsid w:val="004C700C"/>
    <w:rsid w:val="004E234E"/>
    <w:rsid w:val="004F0C3B"/>
    <w:rsid w:val="004F48C2"/>
    <w:rsid w:val="00500180"/>
    <w:rsid w:val="00502B6E"/>
    <w:rsid w:val="00505181"/>
    <w:rsid w:val="0051279E"/>
    <w:rsid w:val="005160D9"/>
    <w:rsid w:val="005238C6"/>
    <w:rsid w:val="00525442"/>
    <w:rsid w:val="00530C2E"/>
    <w:rsid w:val="00535AC6"/>
    <w:rsid w:val="00541425"/>
    <w:rsid w:val="005428DD"/>
    <w:rsid w:val="00542A9D"/>
    <w:rsid w:val="00543105"/>
    <w:rsid w:val="00543B7B"/>
    <w:rsid w:val="005465CE"/>
    <w:rsid w:val="00560007"/>
    <w:rsid w:val="005639F8"/>
    <w:rsid w:val="00570FD7"/>
    <w:rsid w:val="005802BD"/>
    <w:rsid w:val="0058151C"/>
    <w:rsid w:val="00582397"/>
    <w:rsid w:val="005847F6"/>
    <w:rsid w:val="00584877"/>
    <w:rsid w:val="0059738A"/>
    <w:rsid w:val="005A4523"/>
    <w:rsid w:val="005A5F12"/>
    <w:rsid w:val="005A62C7"/>
    <w:rsid w:val="005A7762"/>
    <w:rsid w:val="005B0CDC"/>
    <w:rsid w:val="005B7B7E"/>
    <w:rsid w:val="005C00DD"/>
    <w:rsid w:val="005C49A1"/>
    <w:rsid w:val="005C6275"/>
    <w:rsid w:val="005C7DAD"/>
    <w:rsid w:val="005D1E48"/>
    <w:rsid w:val="005D1EE1"/>
    <w:rsid w:val="005D3F96"/>
    <w:rsid w:val="005D6A5C"/>
    <w:rsid w:val="005D7123"/>
    <w:rsid w:val="005E207A"/>
    <w:rsid w:val="005E2143"/>
    <w:rsid w:val="005E299F"/>
    <w:rsid w:val="005F18BE"/>
    <w:rsid w:val="005F41F3"/>
    <w:rsid w:val="005F6CE2"/>
    <w:rsid w:val="005F73E4"/>
    <w:rsid w:val="00606B5A"/>
    <w:rsid w:val="00610884"/>
    <w:rsid w:val="006113DA"/>
    <w:rsid w:val="00612920"/>
    <w:rsid w:val="00612ACE"/>
    <w:rsid w:val="00614D27"/>
    <w:rsid w:val="00621B66"/>
    <w:rsid w:val="00637FAF"/>
    <w:rsid w:val="006404F1"/>
    <w:rsid w:val="00644377"/>
    <w:rsid w:val="006610FC"/>
    <w:rsid w:val="006616D7"/>
    <w:rsid w:val="006624DD"/>
    <w:rsid w:val="0066640D"/>
    <w:rsid w:val="00670571"/>
    <w:rsid w:val="0067285A"/>
    <w:rsid w:val="0067289A"/>
    <w:rsid w:val="006811BF"/>
    <w:rsid w:val="00682FAD"/>
    <w:rsid w:val="0068494D"/>
    <w:rsid w:val="00687A44"/>
    <w:rsid w:val="00691C60"/>
    <w:rsid w:val="006938C0"/>
    <w:rsid w:val="00696788"/>
    <w:rsid w:val="00696D6C"/>
    <w:rsid w:val="00697164"/>
    <w:rsid w:val="00697F9F"/>
    <w:rsid w:val="006A39A9"/>
    <w:rsid w:val="006B1324"/>
    <w:rsid w:val="006B1333"/>
    <w:rsid w:val="006C383B"/>
    <w:rsid w:val="006E155C"/>
    <w:rsid w:val="006E1B80"/>
    <w:rsid w:val="006F51BD"/>
    <w:rsid w:val="00700D32"/>
    <w:rsid w:val="0070581A"/>
    <w:rsid w:val="007115E2"/>
    <w:rsid w:val="00712BC5"/>
    <w:rsid w:val="00713097"/>
    <w:rsid w:val="00720395"/>
    <w:rsid w:val="00723A72"/>
    <w:rsid w:val="00726016"/>
    <w:rsid w:val="007350AE"/>
    <w:rsid w:val="00736414"/>
    <w:rsid w:val="00742C96"/>
    <w:rsid w:val="0075401E"/>
    <w:rsid w:val="007626E1"/>
    <w:rsid w:val="007641A9"/>
    <w:rsid w:val="0076442C"/>
    <w:rsid w:val="00765E21"/>
    <w:rsid w:val="00766E51"/>
    <w:rsid w:val="007723C1"/>
    <w:rsid w:val="00772FB7"/>
    <w:rsid w:val="00773CEE"/>
    <w:rsid w:val="00775A56"/>
    <w:rsid w:val="00775B1C"/>
    <w:rsid w:val="00777372"/>
    <w:rsid w:val="007812EA"/>
    <w:rsid w:val="00781F1A"/>
    <w:rsid w:val="007911AD"/>
    <w:rsid w:val="00797654"/>
    <w:rsid w:val="007A0B2A"/>
    <w:rsid w:val="007A36E9"/>
    <w:rsid w:val="007A79E8"/>
    <w:rsid w:val="007B1349"/>
    <w:rsid w:val="007B2D48"/>
    <w:rsid w:val="007B74D5"/>
    <w:rsid w:val="007B7812"/>
    <w:rsid w:val="007B7EF6"/>
    <w:rsid w:val="007C4C1F"/>
    <w:rsid w:val="007C56D9"/>
    <w:rsid w:val="007D646F"/>
    <w:rsid w:val="007D710E"/>
    <w:rsid w:val="007D7B5D"/>
    <w:rsid w:val="007E0035"/>
    <w:rsid w:val="007E7D3E"/>
    <w:rsid w:val="007F05BA"/>
    <w:rsid w:val="007F5002"/>
    <w:rsid w:val="007F68DD"/>
    <w:rsid w:val="007F6EE5"/>
    <w:rsid w:val="00804451"/>
    <w:rsid w:val="00806117"/>
    <w:rsid w:val="008076A3"/>
    <w:rsid w:val="0081273A"/>
    <w:rsid w:val="00813BE2"/>
    <w:rsid w:val="008179BA"/>
    <w:rsid w:val="00820BAF"/>
    <w:rsid w:val="00825BEF"/>
    <w:rsid w:val="00826432"/>
    <w:rsid w:val="008275DE"/>
    <w:rsid w:val="00832E44"/>
    <w:rsid w:val="00837777"/>
    <w:rsid w:val="0085555C"/>
    <w:rsid w:val="008571E3"/>
    <w:rsid w:val="00857A24"/>
    <w:rsid w:val="00860076"/>
    <w:rsid w:val="00861122"/>
    <w:rsid w:val="00861F0A"/>
    <w:rsid w:val="00862E1E"/>
    <w:rsid w:val="00867D28"/>
    <w:rsid w:val="008757A2"/>
    <w:rsid w:val="00876FB0"/>
    <w:rsid w:val="0088023F"/>
    <w:rsid w:val="008853E8"/>
    <w:rsid w:val="00885E38"/>
    <w:rsid w:val="008860C3"/>
    <w:rsid w:val="00886C98"/>
    <w:rsid w:val="00890B67"/>
    <w:rsid w:val="00894920"/>
    <w:rsid w:val="008A4E80"/>
    <w:rsid w:val="008A5709"/>
    <w:rsid w:val="008A59D4"/>
    <w:rsid w:val="008B173F"/>
    <w:rsid w:val="008B1A6F"/>
    <w:rsid w:val="008B2B8B"/>
    <w:rsid w:val="008B4C8C"/>
    <w:rsid w:val="008C50B7"/>
    <w:rsid w:val="008D3059"/>
    <w:rsid w:val="008D3A8A"/>
    <w:rsid w:val="008D44E2"/>
    <w:rsid w:val="008D5C1F"/>
    <w:rsid w:val="008E0053"/>
    <w:rsid w:val="008E1868"/>
    <w:rsid w:val="008E6E4F"/>
    <w:rsid w:val="008F1626"/>
    <w:rsid w:val="008F24FB"/>
    <w:rsid w:val="008F3D40"/>
    <w:rsid w:val="00910D7C"/>
    <w:rsid w:val="0091499C"/>
    <w:rsid w:val="00917188"/>
    <w:rsid w:val="009226F2"/>
    <w:rsid w:val="009229D5"/>
    <w:rsid w:val="009252F7"/>
    <w:rsid w:val="00925604"/>
    <w:rsid w:val="009270FE"/>
    <w:rsid w:val="00933333"/>
    <w:rsid w:val="009341C1"/>
    <w:rsid w:val="00935693"/>
    <w:rsid w:val="00936A0A"/>
    <w:rsid w:val="00941269"/>
    <w:rsid w:val="009473B2"/>
    <w:rsid w:val="009535D5"/>
    <w:rsid w:val="00954D53"/>
    <w:rsid w:val="00956C23"/>
    <w:rsid w:val="009570E9"/>
    <w:rsid w:val="00967DA8"/>
    <w:rsid w:val="009728C7"/>
    <w:rsid w:val="0097322B"/>
    <w:rsid w:val="00975377"/>
    <w:rsid w:val="00977E22"/>
    <w:rsid w:val="009825F5"/>
    <w:rsid w:val="00983CDC"/>
    <w:rsid w:val="00986A46"/>
    <w:rsid w:val="0099135A"/>
    <w:rsid w:val="009934E0"/>
    <w:rsid w:val="00995208"/>
    <w:rsid w:val="00996801"/>
    <w:rsid w:val="00996B69"/>
    <w:rsid w:val="009A4DC7"/>
    <w:rsid w:val="009A64F9"/>
    <w:rsid w:val="009B609B"/>
    <w:rsid w:val="009B6515"/>
    <w:rsid w:val="009B6F4E"/>
    <w:rsid w:val="009C5703"/>
    <w:rsid w:val="009C793A"/>
    <w:rsid w:val="009D38DB"/>
    <w:rsid w:val="009E0AF8"/>
    <w:rsid w:val="009E4C08"/>
    <w:rsid w:val="009F0866"/>
    <w:rsid w:val="009F5386"/>
    <w:rsid w:val="00A06101"/>
    <w:rsid w:val="00A07644"/>
    <w:rsid w:val="00A11E9D"/>
    <w:rsid w:val="00A12368"/>
    <w:rsid w:val="00A12ECA"/>
    <w:rsid w:val="00A15750"/>
    <w:rsid w:val="00A21B62"/>
    <w:rsid w:val="00A304A7"/>
    <w:rsid w:val="00A32180"/>
    <w:rsid w:val="00A4094F"/>
    <w:rsid w:val="00A415B3"/>
    <w:rsid w:val="00A461B0"/>
    <w:rsid w:val="00A54EE3"/>
    <w:rsid w:val="00A57D80"/>
    <w:rsid w:val="00A60040"/>
    <w:rsid w:val="00A64033"/>
    <w:rsid w:val="00A64B84"/>
    <w:rsid w:val="00A65D09"/>
    <w:rsid w:val="00A713C1"/>
    <w:rsid w:val="00A7226B"/>
    <w:rsid w:val="00A760DE"/>
    <w:rsid w:val="00A83654"/>
    <w:rsid w:val="00A9034B"/>
    <w:rsid w:val="00AA482E"/>
    <w:rsid w:val="00AA5950"/>
    <w:rsid w:val="00AA6572"/>
    <w:rsid w:val="00AB5239"/>
    <w:rsid w:val="00AC28B8"/>
    <w:rsid w:val="00AC46BE"/>
    <w:rsid w:val="00AC73BF"/>
    <w:rsid w:val="00AD1275"/>
    <w:rsid w:val="00AD2DEA"/>
    <w:rsid w:val="00AD7458"/>
    <w:rsid w:val="00AE24A8"/>
    <w:rsid w:val="00AE41E8"/>
    <w:rsid w:val="00AE5FAF"/>
    <w:rsid w:val="00AE7774"/>
    <w:rsid w:val="00AF00B0"/>
    <w:rsid w:val="00AF02B6"/>
    <w:rsid w:val="00AF0C1B"/>
    <w:rsid w:val="00AF1437"/>
    <w:rsid w:val="00AF55C0"/>
    <w:rsid w:val="00B06E28"/>
    <w:rsid w:val="00B15395"/>
    <w:rsid w:val="00B17EA4"/>
    <w:rsid w:val="00B27F1E"/>
    <w:rsid w:val="00B35A2B"/>
    <w:rsid w:val="00B377FF"/>
    <w:rsid w:val="00B4108A"/>
    <w:rsid w:val="00B42191"/>
    <w:rsid w:val="00B52BC2"/>
    <w:rsid w:val="00B53603"/>
    <w:rsid w:val="00B54C81"/>
    <w:rsid w:val="00B652CF"/>
    <w:rsid w:val="00B6686A"/>
    <w:rsid w:val="00B71A93"/>
    <w:rsid w:val="00B846C4"/>
    <w:rsid w:val="00B91C42"/>
    <w:rsid w:val="00B91FFE"/>
    <w:rsid w:val="00B92326"/>
    <w:rsid w:val="00B93087"/>
    <w:rsid w:val="00B9665A"/>
    <w:rsid w:val="00BA156F"/>
    <w:rsid w:val="00BB0ED6"/>
    <w:rsid w:val="00BB4B74"/>
    <w:rsid w:val="00BC5615"/>
    <w:rsid w:val="00BD4F39"/>
    <w:rsid w:val="00BE3D94"/>
    <w:rsid w:val="00BE54B4"/>
    <w:rsid w:val="00BF2F71"/>
    <w:rsid w:val="00BF4A70"/>
    <w:rsid w:val="00BF4D95"/>
    <w:rsid w:val="00C070A2"/>
    <w:rsid w:val="00C110C7"/>
    <w:rsid w:val="00C1550E"/>
    <w:rsid w:val="00C20056"/>
    <w:rsid w:val="00C31CB8"/>
    <w:rsid w:val="00C31FF2"/>
    <w:rsid w:val="00C3361C"/>
    <w:rsid w:val="00C361AC"/>
    <w:rsid w:val="00C41D95"/>
    <w:rsid w:val="00C44645"/>
    <w:rsid w:val="00C44776"/>
    <w:rsid w:val="00C45595"/>
    <w:rsid w:val="00C47FF2"/>
    <w:rsid w:val="00C50A3F"/>
    <w:rsid w:val="00C51B7D"/>
    <w:rsid w:val="00C56649"/>
    <w:rsid w:val="00C6137D"/>
    <w:rsid w:val="00C61540"/>
    <w:rsid w:val="00C706FA"/>
    <w:rsid w:val="00C72660"/>
    <w:rsid w:val="00C7391B"/>
    <w:rsid w:val="00C73C82"/>
    <w:rsid w:val="00C757EA"/>
    <w:rsid w:val="00C776F6"/>
    <w:rsid w:val="00C82744"/>
    <w:rsid w:val="00C87122"/>
    <w:rsid w:val="00C919B8"/>
    <w:rsid w:val="00C93DED"/>
    <w:rsid w:val="00C94DDF"/>
    <w:rsid w:val="00C95A07"/>
    <w:rsid w:val="00C96D6E"/>
    <w:rsid w:val="00CA0CFD"/>
    <w:rsid w:val="00CA0F2F"/>
    <w:rsid w:val="00CA2E0F"/>
    <w:rsid w:val="00CA37C8"/>
    <w:rsid w:val="00CA3802"/>
    <w:rsid w:val="00CA617E"/>
    <w:rsid w:val="00CA6785"/>
    <w:rsid w:val="00CC2ACE"/>
    <w:rsid w:val="00CC2F06"/>
    <w:rsid w:val="00CC4EE7"/>
    <w:rsid w:val="00CC5609"/>
    <w:rsid w:val="00CD2392"/>
    <w:rsid w:val="00CD457E"/>
    <w:rsid w:val="00CD604E"/>
    <w:rsid w:val="00CE46F3"/>
    <w:rsid w:val="00CE57DF"/>
    <w:rsid w:val="00CF17A0"/>
    <w:rsid w:val="00D0021A"/>
    <w:rsid w:val="00D01E3B"/>
    <w:rsid w:val="00D07330"/>
    <w:rsid w:val="00D17591"/>
    <w:rsid w:val="00D21CD3"/>
    <w:rsid w:val="00D22354"/>
    <w:rsid w:val="00D264DA"/>
    <w:rsid w:val="00D26568"/>
    <w:rsid w:val="00D34827"/>
    <w:rsid w:val="00D414CE"/>
    <w:rsid w:val="00D42241"/>
    <w:rsid w:val="00D43721"/>
    <w:rsid w:val="00D451AB"/>
    <w:rsid w:val="00D4613C"/>
    <w:rsid w:val="00D55DB6"/>
    <w:rsid w:val="00D578AF"/>
    <w:rsid w:val="00D61621"/>
    <w:rsid w:val="00D642D9"/>
    <w:rsid w:val="00D65D7A"/>
    <w:rsid w:val="00D6793A"/>
    <w:rsid w:val="00D70550"/>
    <w:rsid w:val="00D7347C"/>
    <w:rsid w:val="00D75572"/>
    <w:rsid w:val="00D77A8E"/>
    <w:rsid w:val="00D811D1"/>
    <w:rsid w:val="00D821B5"/>
    <w:rsid w:val="00D87CD2"/>
    <w:rsid w:val="00D9410C"/>
    <w:rsid w:val="00D944CB"/>
    <w:rsid w:val="00D94A98"/>
    <w:rsid w:val="00DA59FA"/>
    <w:rsid w:val="00DB295F"/>
    <w:rsid w:val="00DB3826"/>
    <w:rsid w:val="00DB38F3"/>
    <w:rsid w:val="00DB57E2"/>
    <w:rsid w:val="00DC21EB"/>
    <w:rsid w:val="00DC4486"/>
    <w:rsid w:val="00DD54DD"/>
    <w:rsid w:val="00DD5F2B"/>
    <w:rsid w:val="00DE00C5"/>
    <w:rsid w:val="00DE3DDE"/>
    <w:rsid w:val="00DE3FB5"/>
    <w:rsid w:val="00DE4E1B"/>
    <w:rsid w:val="00DF1E6B"/>
    <w:rsid w:val="00E00D0A"/>
    <w:rsid w:val="00E07A34"/>
    <w:rsid w:val="00E10DA6"/>
    <w:rsid w:val="00E13FE6"/>
    <w:rsid w:val="00E1441D"/>
    <w:rsid w:val="00E15E47"/>
    <w:rsid w:val="00E224D8"/>
    <w:rsid w:val="00E250B0"/>
    <w:rsid w:val="00E40596"/>
    <w:rsid w:val="00E40EE7"/>
    <w:rsid w:val="00E427C0"/>
    <w:rsid w:val="00E45EC3"/>
    <w:rsid w:val="00E50371"/>
    <w:rsid w:val="00E60B6F"/>
    <w:rsid w:val="00E638C8"/>
    <w:rsid w:val="00E658DD"/>
    <w:rsid w:val="00E765E2"/>
    <w:rsid w:val="00E812DC"/>
    <w:rsid w:val="00E82204"/>
    <w:rsid w:val="00E8377B"/>
    <w:rsid w:val="00E853BC"/>
    <w:rsid w:val="00E9630A"/>
    <w:rsid w:val="00E96877"/>
    <w:rsid w:val="00EA1188"/>
    <w:rsid w:val="00EA3A5B"/>
    <w:rsid w:val="00EA6788"/>
    <w:rsid w:val="00EA79D5"/>
    <w:rsid w:val="00EB33B9"/>
    <w:rsid w:val="00ED4DE4"/>
    <w:rsid w:val="00EE3D56"/>
    <w:rsid w:val="00EE597A"/>
    <w:rsid w:val="00EF122C"/>
    <w:rsid w:val="00EF2E34"/>
    <w:rsid w:val="00EF5A9B"/>
    <w:rsid w:val="00F02764"/>
    <w:rsid w:val="00F041BF"/>
    <w:rsid w:val="00F043FA"/>
    <w:rsid w:val="00F04FEF"/>
    <w:rsid w:val="00F051BA"/>
    <w:rsid w:val="00F101D4"/>
    <w:rsid w:val="00F10FC9"/>
    <w:rsid w:val="00F14F24"/>
    <w:rsid w:val="00F171CA"/>
    <w:rsid w:val="00F210FD"/>
    <w:rsid w:val="00F26AEE"/>
    <w:rsid w:val="00F339EF"/>
    <w:rsid w:val="00F4155A"/>
    <w:rsid w:val="00F47F48"/>
    <w:rsid w:val="00F51DF0"/>
    <w:rsid w:val="00F52C16"/>
    <w:rsid w:val="00F54E72"/>
    <w:rsid w:val="00F71D75"/>
    <w:rsid w:val="00F72F06"/>
    <w:rsid w:val="00F76618"/>
    <w:rsid w:val="00F831BE"/>
    <w:rsid w:val="00F85E04"/>
    <w:rsid w:val="00F915EB"/>
    <w:rsid w:val="00F9209E"/>
    <w:rsid w:val="00F927DD"/>
    <w:rsid w:val="00F93339"/>
    <w:rsid w:val="00FA1098"/>
    <w:rsid w:val="00FA3EE8"/>
    <w:rsid w:val="00FA6535"/>
    <w:rsid w:val="00FB26D2"/>
    <w:rsid w:val="00FB408C"/>
    <w:rsid w:val="00FB4548"/>
    <w:rsid w:val="00FC0F17"/>
    <w:rsid w:val="00FC19B9"/>
    <w:rsid w:val="00FD00A5"/>
    <w:rsid w:val="00FD0924"/>
    <w:rsid w:val="00FD1850"/>
    <w:rsid w:val="00FD66A6"/>
    <w:rsid w:val="00FE0A17"/>
    <w:rsid w:val="019A2AAA"/>
    <w:rsid w:val="02CB0298"/>
    <w:rsid w:val="02FF2217"/>
    <w:rsid w:val="046B50D0"/>
    <w:rsid w:val="05973600"/>
    <w:rsid w:val="065B01FC"/>
    <w:rsid w:val="07123294"/>
    <w:rsid w:val="08163323"/>
    <w:rsid w:val="08B75F8F"/>
    <w:rsid w:val="09502F56"/>
    <w:rsid w:val="09E91425"/>
    <w:rsid w:val="0AA103E4"/>
    <w:rsid w:val="0B093153"/>
    <w:rsid w:val="0BCA69ED"/>
    <w:rsid w:val="0D5F331D"/>
    <w:rsid w:val="0ECB2CE4"/>
    <w:rsid w:val="101C4465"/>
    <w:rsid w:val="10254503"/>
    <w:rsid w:val="10FA1934"/>
    <w:rsid w:val="129E286B"/>
    <w:rsid w:val="139809B8"/>
    <w:rsid w:val="15936C45"/>
    <w:rsid w:val="1741230D"/>
    <w:rsid w:val="175F5F0F"/>
    <w:rsid w:val="17A55019"/>
    <w:rsid w:val="1A3B7A63"/>
    <w:rsid w:val="1B867962"/>
    <w:rsid w:val="1CEB4B8B"/>
    <w:rsid w:val="1DBE6F83"/>
    <w:rsid w:val="1EAA7130"/>
    <w:rsid w:val="1F1B7305"/>
    <w:rsid w:val="1F2B5457"/>
    <w:rsid w:val="22297B88"/>
    <w:rsid w:val="222A0897"/>
    <w:rsid w:val="22324A3F"/>
    <w:rsid w:val="229923DC"/>
    <w:rsid w:val="235B29DA"/>
    <w:rsid w:val="242D64E2"/>
    <w:rsid w:val="25054A3B"/>
    <w:rsid w:val="256B1CBE"/>
    <w:rsid w:val="28406939"/>
    <w:rsid w:val="28AC5FFC"/>
    <w:rsid w:val="29272DC4"/>
    <w:rsid w:val="2B022F40"/>
    <w:rsid w:val="2C9B5A87"/>
    <w:rsid w:val="2CEA68E0"/>
    <w:rsid w:val="30A672FE"/>
    <w:rsid w:val="30E50C9B"/>
    <w:rsid w:val="31C6098D"/>
    <w:rsid w:val="31DE5AFA"/>
    <w:rsid w:val="32E96F13"/>
    <w:rsid w:val="3315234D"/>
    <w:rsid w:val="3345169B"/>
    <w:rsid w:val="35E73E53"/>
    <w:rsid w:val="372C4223"/>
    <w:rsid w:val="383047C2"/>
    <w:rsid w:val="38D82C75"/>
    <w:rsid w:val="39E87308"/>
    <w:rsid w:val="3A2F1869"/>
    <w:rsid w:val="3A8A6E59"/>
    <w:rsid w:val="3B1B545C"/>
    <w:rsid w:val="3BDD57A8"/>
    <w:rsid w:val="3CA15000"/>
    <w:rsid w:val="3E152797"/>
    <w:rsid w:val="3F3705D0"/>
    <w:rsid w:val="454A5450"/>
    <w:rsid w:val="458173A4"/>
    <w:rsid w:val="45FB7F8E"/>
    <w:rsid w:val="4698163E"/>
    <w:rsid w:val="48E7179C"/>
    <w:rsid w:val="4960057D"/>
    <w:rsid w:val="4B1916F3"/>
    <w:rsid w:val="4B2E0B85"/>
    <w:rsid w:val="4C1C47CB"/>
    <w:rsid w:val="4F502704"/>
    <w:rsid w:val="4F813E7A"/>
    <w:rsid w:val="5300673D"/>
    <w:rsid w:val="549A6402"/>
    <w:rsid w:val="56737A74"/>
    <w:rsid w:val="57320BE6"/>
    <w:rsid w:val="57E430B1"/>
    <w:rsid w:val="5AD41B7B"/>
    <w:rsid w:val="614A1220"/>
    <w:rsid w:val="639E0253"/>
    <w:rsid w:val="64903001"/>
    <w:rsid w:val="649946C8"/>
    <w:rsid w:val="649B02DD"/>
    <w:rsid w:val="6560040A"/>
    <w:rsid w:val="65EA47FC"/>
    <w:rsid w:val="6A0A2218"/>
    <w:rsid w:val="6BDF6867"/>
    <w:rsid w:val="6C36637B"/>
    <w:rsid w:val="6F1564CF"/>
    <w:rsid w:val="6F4935AF"/>
    <w:rsid w:val="70E754D7"/>
    <w:rsid w:val="71E10B20"/>
    <w:rsid w:val="74635EC1"/>
    <w:rsid w:val="74C62EC7"/>
    <w:rsid w:val="76932202"/>
    <w:rsid w:val="791333D0"/>
    <w:rsid w:val="79F813BD"/>
    <w:rsid w:val="7CD27BF6"/>
    <w:rsid w:val="7CF35F24"/>
    <w:rsid w:val="7D724FF2"/>
    <w:rsid w:val="7E9223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3"/>
    <w:qFormat/>
    <w:uiPriority w:val="0"/>
    <w:pPr>
      <w:keepNext/>
      <w:keepLines/>
      <w:spacing w:before="340" w:after="330" w:line="576" w:lineRule="auto"/>
      <w:outlineLvl w:val="0"/>
    </w:pPr>
    <w:rPr>
      <w:b/>
      <w:kern w:val="44"/>
      <w:sz w:val="44"/>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34"/>
    <w:qFormat/>
    <w:uiPriority w:val="0"/>
    <w:rPr>
      <w:rFonts w:ascii="宋体"/>
      <w:sz w:val="18"/>
      <w:szCs w:val="18"/>
    </w:rPr>
  </w:style>
  <w:style w:type="paragraph" w:styleId="4">
    <w:name w:val="Body Text"/>
    <w:basedOn w:val="1"/>
    <w:link w:val="42"/>
    <w:qFormat/>
    <w:uiPriority w:val="0"/>
    <w:pPr>
      <w:spacing w:after="120"/>
    </w:pPr>
  </w:style>
  <w:style w:type="paragraph" w:styleId="5">
    <w:name w:val="Date"/>
    <w:basedOn w:val="1"/>
    <w:next w:val="1"/>
    <w:link w:val="30"/>
    <w:qFormat/>
    <w:uiPriority w:val="0"/>
    <w:pPr>
      <w:ind w:left="100" w:leftChars="2500"/>
    </w:pPr>
  </w:style>
  <w:style w:type="paragraph" w:styleId="6">
    <w:name w:val="Balloon Text"/>
    <w:basedOn w:val="1"/>
    <w:link w:val="33"/>
    <w:qFormat/>
    <w:uiPriority w:val="99"/>
    <w:rPr>
      <w:sz w:val="18"/>
      <w:szCs w:val="18"/>
    </w:rPr>
  </w:style>
  <w:style w:type="paragraph" w:styleId="7">
    <w:name w:val="footer"/>
    <w:basedOn w:val="1"/>
    <w:link w:val="31"/>
    <w:qFormat/>
    <w:uiPriority w:val="99"/>
    <w:pPr>
      <w:tabs>
        <w:tab w:val="center" w:pos="4153"/>
        <w:tab w:val="right" w:pos="8306"/>
      </w:tabs>
      <w:snapToGrid w:val="0"/>
      <w:jc w:val="left"/>
    </w:pPr>
    <w:rPr>
      <w:sz w:val="18"/>
      <w:szCs w:val="18"/>
    </w:rPr>
  </w:style>
  <w:style w:type="paragraph" w:styleId="8">
    <w:name w:val="header"/>
    <w:basedOn w:val="1"/>
    <w:link w:val="29"/>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0"/>
    <w:rPr>
      <w:sz w:val="24"/>
    </w:rPr>
  </w:style>
  <w:style w:type="table" w:styleId="11">
    <w:name w:val="Table Grid"/>
    <w:basedOn w:val="10"/>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3">
    <w:name w:val="FollowedHyperlink"/>
    <w:basedOn w:val="12"/>
    <w:semiHidden/>
    <w:unhideWhenUsed/>
    <w:qFormat/>
    <w:uiPriority w:val="0"/>
    <w:rPr>
      <w:color w:val="333333"/>
      <w:u w:val="none"/>
    </w:rPr>
  </w:style>
  <w:style w:type="character" w:styleId="14">
    <w:name w:val="Hyperlink"/>
    <w:basedOn w:val="12"/>
    <w:unhideWhenUsed/>
    <w:qFormat/>
    <w:uiPriority w:val="0"/>
    <w:rPr>
      <w:color w:val="0000FF" w:themeColor="hyperlink"/>
      <w:u w:val="single"/>
      <w14:textFill>
        <w14:solidFill>
          <w14:schemeClr w14:val="hlink"/>
        </w14:solidFill>
      </w14:textFill>
    </w:rPr>
  </w:style>
  <w:style w:type="paragraph" w:customStyle="1" w:styleId="15">
    <w:name w:val="五级条标题"/>
    <w:basedOn w:val="16"/>
    <w:next w:val="20"/>
    <w:qFormat/>
    <w:uiPriority w:val="0"/>
    <w:pPr>
      <w:numPr>
        <w:ilvl w:val="5"/>
      </w:numPr>
      <w:outlineLvl w:val="6"/>
    </w:pPr>
  </w:style>
  <w:style w:type="paragraph" w:customStyle="1" w:styleId="16">
    <w:name w:val="四级条标题"/>
    <w:basedOn w:val="17"/>
    <w:next w:val="20"/>
    <w:qFormat/>
    <w:uiPriority w:val="0"/>
    <w:pPr>
      <w:numPr>
        <w:ilvl w:val="4"/>
      </w:numPr>
      <w:outlineLvl w:val="5"/>
    </w:pPr>
  </w:style>
  <w:style w:type="paragraph" w:customStyle="1" w:styleId="17">
    <w:name w:val="三级条标题"/>
    <w:basedOn w:val="18"/>
    <w:next w:val="20"/>
    <w:qFormat/>
    <w:uiPriority w:val="0"/>
    <w:pPr>
      <w:numPr>
        <w:ilvl w:val="3"/>
      </w:numPr>
      <w:outlineLvl w:val="4"/>
    </w:pPr>
  </w:style>
  <w:style w:type="paragraph" w:customStyle="1" w:styleId="18">
    <w:name w:val="二级条标题"/>
    <w:basedOn w:val="19"/>
    <w:next w:val="20"/>
    <w:qFormat/>
    <w:uiPriority w:val="0"/>
    <w:pPr>
      <w:numPr>
        <w:ilvl w:val="2"/>
      </w:numPr>
      <w:spacing w:before="50" w:after="50"/>
      <w:outlineLvl w:val="3"/>
    </w:pPr>
  </w:style>
  <w:style w:type="paragraph" w:customStyle="1" w:styleId="19">
    <w:name w:val="一级条标题"/>
    <w:next w:val="20"/>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20">
    <w:name w:val="段"/>
    <w:link w:val="32"/>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1">
    <w:name w:val="附录图标号"/>
    <w:basedOn w:val="1"/>
    <w:qFormat/>
    <w:uiPriority w:val="0"/>
    <w:pPr>
      <w:keepNext/>
      <w:pageBreakBefore/>
      <w:widowControl/>
      <w:numPr>
        <w:ilvl w:val="0"/>
        <w:numId w:val="2"/>
      </w:numPr>
      <w:spacing w:line="14" w:lineRule="exact"/>
      <w:ind w:left="0" w:firstLine="363"/>
      <w:jc w:val="center"/>
      <w:outlineLvl w:val="0"/>
    </w:pPr>
    <w:rPr>
      <w:color w:val="FFFFFF"/>
    </w:rPr>
  </w:style>
  <w:style w:type="paragraph" w:customStyle="1" w:styleId="22">
    <w:name w:val="附录图标题"/>
    <w:basedOn w:val="1"/>
    <w:next w:val="20"/>
    <w:qFormat/>
    <w:uiPriority w:val="0"/>
    <w:pPr>
      <w:numPr>
        <w:ilvl w:val="1"/>
        <w:numId w:val="2"/>
      </w:numPr>
      <w:tabs>
        <w:tab w:val="left" w:pos="363"/>
      </w:tabs>
      <w:spacing w:beforeLines="50" w:afterLines="50"/>
      <w:ind w:left="0" w:firstLine="0"/>
      <w:jc w:val="center"/>
    </w:pPr>
    <w:rPr>
      <w:rFonts w:ascii="黑体" w:eastAsia="黑体"/>
      <w:szCs w:val="21"/>
    </w:rPr>
  </w:style>
  <w:style w:type="paragraph" w:customStyle="1" w:styleId="23">
    <w:name w:val="附录表标题"/>
    <w:basedOn w:val="1"/>
    <w:next w:val="20"/>
    <w:qFormat/>
    <w:uiPriority w:val="0"/>
    <w:pPr>
      <w:numPr>
        <w:ilvl w:val="1"/>
        <w:numId w:val="3"/>
      </w:numPr>
      <w:tabs>
        <w:tab w:val="left" w:pos="180"/>
      </w:tabs>
      <w:spacing w:beforeLines="50" w:afterLines="50"/>
      <w:ind w:left="0" w:firstLine="0"/>
      <w:jc w:val="center"/>
    </w:pPr>
    <w:rPr>
      <w:rFonts w:ascii="黑体" w:eastAsia="黑体"/>
      <w:szCs w:val="21"/>
    </w:rPr>
  </w:style>
  <w:style w:type="paragraph" w:customStyle="1" w:styleId="24">
    <w:name w:val="正文图标题"/>
    <w:next w:val="20"/>
    <w:qFormat/>
    <w:uiPriority w:val="0"/>
    <w:pPr>
      <w:numPr>
        <w:ilvl w:val="0"/>
        <w:numId w:val="4"/>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25">
    <w:name w:val="正文表标题"/>
    <w:next w:val="20"/>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26">
    <w:name w:val="章标题"/>
    <w:next w:val="20"/>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27">
    <w:name w:val="注："/>
    <w:next w:val="20"/>
    <w:qFormat/>
    <w:uiPriority w:val="0"/>
    <w:pPr>
      <w:widowControl w:val="0"/>
      <w:numPr>
        <w:ilvl w:val="0"/>
        <w:numId w:val="5"/>
      </w:numPr>
      <w:autoSpaceDE w:val="0"/>
      <w:autoSpaceDN w:val="0"/>
      <w:jc w:val="both"/>
    </w:pPr>
    <w:rPr>
      <w:rFonts w:ascii="宋体" w:hAnsi="Times New Roman" w:eastAsia="宋体" w:cs="Times New Roman"/>
      <w:sz w:val="18"/>
      <w:szCs w:val="18"/>
      <w:lang w:val="en-US" w:eastAsia="zh-CN" w:bidi="ar-SA"/>
    </w:rPr>
  </w:style>
  <w:style w:type="paragraph" w:customStyle="1" w:styleId="28">
    <w:name w:val="其他发布日期"/>
    <w:basedOn w:val="1"/>
    <w:qFormat/>
    <w:uiPriority w:val="0"/>
    <w:pPr>
      <w:framePr w:w="3997" w:h="471" w:hRule="exact" w:vSpace="181" w:wrap="around" w:vAnchor="page" w:hAnchor="page" w:x="1419" w:y="14097" w:anchorLock="1"/>
      <w:widowControl/>
      <w:numPr>
        <w:ilvl w:val="0"/>
        <w:numId w:val="6"/>
      </w:numPr>
      <w:jc w:val="left"/>
    </w:pPr>
    <w:rPr>
      <w:rFonts w:eastAsia="黑体"/>
      <w:kern w:val="0"/>
      <w:sz w:val="28"/>
      <w:szCs w:val="20"/>
    </w:rPr>
  </w:style>
  <w:style w:type="character" w:customStyle="1" w:styleId="29">
    <w:name w:val="页眉 Char"/>
    <w:basedOn w:val="12"/>
    <w:link w:val="8"/>
    <w:qFormat/>
    <w:uiPriority w:val="99"/>
    <w:rPr>
      <w:kern w:val="2"/>
      <w:sz w:val="18"/>
      <w:szCs w:val="18"/>
    </w:rPr>
  </w:style>
  <w:style w:type="character" w:customStyle="1" w:styleId="30">
    <w:name w:val="日期 Char"/>
    <w:basedOn w:val="12"/>
    <w:link w:val="5"/>
    <w:qFormat/>
    <w:uiPriority w:val="0"/>
    <w:rPr>
      <w:kern w:val="2"/>
      <w:sz w:val="21"/>
      <w:szCs w:val="24"/>
    </w:rPr>
  </w:style>
  <w:style w:type="character" w:customStyle="1" w:styleId="31">
    <w:name w:val="页脚 Char"/>
    <w:basedOn w:val="12"/>
    <w:link w:val="7"/>
    <w:qFormat/>
    <w:uiPriority w:val="99"/>
    <w:rPr>
      <w:kern w:val="2"/>
      <w:sz w:val="18"/>
      <w:szCs w:val="18"/>
    </w:rPr>
  </w:style>
  <w:style w:type="character" w:customStyle="1" w:styleId="32">
    <w:name w:val="段 Char"/>
    <w:basedOn w:val="12"/>
    <w:link w:val="20"/>
    <w:qFormat/>
    <w:uiPriority w:val="0"/>
    <w:rPr>
      <w:rFonts w:ascii="宋体"/>
      <w:sz w:val="21"/>
      <w:lang w:val="en-US" w:eastAsia="zh-CN" w:bidi="ar-SA"/>
    </w:rPr>
  </w:style>
  <w:style w:type="character" w:customStyle="1" w:styleId="33">
    <w:name w:val="批注框文本 Char"/>
    <w:basedOn w:val="12"/>
    <w:link w:val="6"/>
    <w:qFormat/>
    <w:uiPriority w:val="99"/>
    <w:rPr>
      <w:kern w:val="2"/>
      <w:sz w:val="18"/>
      <w:szCs w:val="18"/>
    </w:rPr>
  </w:style>
  <w:style w:type="character" w:customStyle="1" w:styleId="34">
    <w:name w:val="文档结构图 Char"/>
    <w:basedOn w:val="12"/>
    <w:link w:val="3"/>
    <w:qFormat/>
    <w:uiPriority w:val="0"/>
    <w:rPr>
      <w:rFonts w:ascii="宋体"/>
      <w:kern w:val="2"/>
      <w:sz w:val="18"/>
      <w:szCs w:val="18"/>
    </w:rPr>
  </w:style>
  <w:style w:type="table" w:customStyle="1" w:styleId="35">
    <w:name w:val="Table Normal"/>
    <w:semiHidden/>
    <w:unhideWhenUsed/>
    <w:qFormat/>
    <w:uiPriority w:val="2"/>
    <w:pPr>
      <w:widowControl w:val="0"/>
    </w:pPr>
    <w:rPr>
      <w:sz w:val="22"/>
      <w:szCs w:val="22"/>
      <w:lang w:eastAsia="en-US"/>
    </w:rPr>
    <w:tblPr>
      <w:tblCellMar>
        <w:top w:w="0" w:type="dxa"/>
        <w:left w:w="0" w:type="dxa"/>
        <w:bottom w:w="0" w:type="dxa"/>
        <w:right w:w="0" w:type="dxa"/>
      </w:tblCellMar>
    </w:tblPr>
  </w:style>
  <w:style w:type="paragraph" w:customStyle="1" w:styleId="36">
    <w:name w:val="正文文本1"/>
    <w:basedOn w:val="1"/>
    <w:next w:val="4"/>
    <w:link w:val="37"/>
    <w:qFormat/>
    <w:uiPriority w:val="1"/>
    <w:pPr>
      <w:spacing w:before="10"/>
      <w:ind w:left="142"/>
      <w:jc w:val="left"/>
    </w:pPr>
    <w:rPr>
      <w:rFonts w:ascii="宋体" w:hAnsi="宋体"/>
      <w:kern w:val="0"/>
      <w:sz w:val="24"/>
    </w:rPr>
  </w:style>
  <w:style w:type="character" w:customStyle="1" w:styleId="37">
    <w:name w:val="正文文本 Char"/>
    <w:basedOn w:val="12"/>
    <w:link w:val="36"/>
    <w:qFormat/>
    <w:uiPriority w:val="1"/>
    <w:rPr>
      <w:rFonts w:ascii="宋体" w:hAnsi="宋体" w:eastAsia="宋体"/>
      <w:sz w:val="24"/>
      <w:szCs w:val="24"/>
    </w:rPr>
  </w:style>
  <w:style w:type="paragraph" w:customStyle="1" w:styleId="38">
    <w:name w:val="标题 11"/>
    <w:basedOn w:val="1"/>
    <w:qFormat/>
    <w:uiPriority w:val="1"/>
    <w:pPr>
      <w:ind w:left="20"/>
      <w:jc w:val="left"/>
      <w:outlineLvl w:val="1"/>
    </w:pPr>
    <w:rPr>
      <w:rFonts w:ascii="黑体" w:hAnsi="黑体" w:eastAsia="黑体"/>
      <w:kern w:val="0"/>
      <w:sz w:val="28"/>
      <w:szCs w:val="28"/>
      <w:lang w:eastAsia="en-US"/>
    </w:rPr>
  </w:style>
  <w:style w:type="paragraph" w:customStyle="1" w:styleId="39">
    <w:name w:val="列出段落1"/>
    <w:basedOn w:val="1"/>
    <w:next w:val="40"/>
    <w:qFormat/>
    <w:uiPriority w:val="1"/>
    <w:pPr>
      <w:jc w:val="left"/>
    </w:pPr>
    <w:rPr>
      <w:rFonts w:ascii="Calibri" w:hAnsi="Calibri"/>
      <w:kern w:val="0"/>
      <w:sz w:val="22"/>
      <w:szCs w:val="22"/>
      <w:lang w:eastAsia="en-US"/>
    </w:rPr>
  </w:style>
  <w:style w:type="paragraph" w:styleId="40">
    <w:name w:val="List Paragraph"/>
    <w:basedOn w:val="1"/>
    <w:unhideWhenUsed/>
    <w:qFormat/>
    <w:uiPriority w:val="99"/>
    <w:pPr>
      <w:ind w:firstLine="420" w:firstLineChars="200"/>
    </w:pPr>
  </w:style>
  <w:style w:type="paragraph" w:customStyle="1" w:styleId="41">
    <w:name w:val="Table Paragraph"/>
    <w:basedOn w:val="1"/>
    <w:qFormat/>
    <w:uiPriority w:val="1"/>
    <w:pPr>
      <w:jc w:val="left"/>
    </w:pPr>
    <w:rPr>
      <w:rFonts w:ascii="Calibri" w:hAnsi="Calibri"/>
      <w:kern w:val="0"/>
      <w:sz w:val="22"/>
      <w:szCs w:val="22"/>
      <w:lang w:eastAsia="en-US"/>
    </w:rPr>
  </w:style>
  <w:style w:type="character" w:customStyle="1" w:styleId="42">
    <w:name w:val="正文文本 Char1"/>
    <w:basedOn w:val="12"/>
    <w:link w:val="4"/>
    <w:qFormat/>
    <w:uiPriority w:val="0"/>
    <w:rPr>
      <w:kern w:val="2"/>
      <w:sz w:val="21"/>
      <w:szCs w:val="24"/>
    </w:rPr>
  </w:style>
  <w:style w:type="character" w:customStyle="1" w:styleId="43">
    <w:name w:val="标题 1 Char"/>
    <w:basedOn w:val="12"/>
    <w:link w:val="2"/>
    <w:qFormat/>
    <w:uiPriority w:val="0"/>
    <w:rPr>
      <w:b/>
      <w:bCs/>
      <w:kern w:val="44"/>
      <w:sz w:val="44"/>
      <w:szCs w:val="44"/>
    </w:rPr>
  </w:style>
  <w:style w:type="character" w:customStyle="1" w:styleId="44">
    <w:name w:val="sysj"/>
    <w:basedOn w:val="12"/>
    <w:qFormat/>
    <w:uiPriority w:val="0"/>
  </w:style>
  <w:style w:type="character" w:customStyle="1" w:styleId="45">
    <w:name w:val="thisit"/>
    <w:basedOn w:val="12"/>
    <w:qFormat/>
    <w:uiPriority w:val="0"/>
  </w:style>
  <w:style w:type="character" w:customStyle="1" w:styleId="46">
    <w:name w:val="bzmc"/>
    <w:basedOn w:val="12"/>
    <w:qFormat/>
    <w:uiPriority w:val="0"/>
  </w:style>
  <w:style w:type="character" w:customStyle="1" w:styleId="47">
    <w:name w:val="bzmc1"/>
    <w:basedOn w:val="12"/>
    <w:qFormat/>
    <w:uiPriority w:val="0"/>
  </w:style>
  <w:style w:type="character" w:customStyle="1" w:styleId="48">
    <w:name w:val="bzmc2"/>
    <w:basedOn w:val="12"/>
    <w:qFormat/>
    <w:uiPriority w:val="0"/>
  </w:style>
  <w:style w:type="character" w:customStyle="1" w:styleId="49">
    <w:name w:val="f_r6"/>
    <w:basedOn w:val="12"/>
    <w:qFormat/>
    <w:uiPriority w:val="0"/>
  </w:style>
  <w:style w:type="character" w:customStyle="1" w:styleId="50">
    <w:name w:val="bzrq2"/>
    <w:basedOn w:val="12"/>
    <w:qFormat/>
    <w:uiPriority w:val="0"/>
  </w:style>
  <w:style w:type="character" w:customStyle="1" w:styleId="51">
    <w:name w:val="bsharetext"/>
    <w:basedOn w:val="12"/>
    <w:qFormat/>
    <w:uiPriority w:val="0"/>
  </w:style>
  <w:style w:type="paragraph" w:customStyle="1" w:styleId="52">
    <w:name w:val="标准文件_表格"/>
    <w:basedOn w:val="1"/>
    <w:qFormat/>
    <w:uiPriority w:val="0"/>
    <w:pPr>
      <w:widowControl/>
      <w:autoSpaceDE w:val="0"/>
      <w:autoSpaceDN w:val="0"/>
      <w:jc w:val="center"/>
    </w:pPr>
    <w:rPr>
      <w:rFonts w:hint="eastAsia" w:ascii="宋体"/>
      <w:kern w:val="0"/>
      <w:sz w:val="18"/>
      <w:szCs w:val="20"/>
    </w:rPr>
  </w:style>
  <w:style w:type="paragraph" w:customStyle="1" w:styleId="53">
    <w:name w:val="标准文件_正文表标题"/>
    <w:basedOn w:val="1"/>
    <w:next w:val="1"/>
    <w:qFormat/>
    <w:uiPriority w:val="0"/>
    <w:pPr>
      <w:widowControl/>
      <w:numPr>
        <w:ilvl w:val="0"/>
        <w:numId w:val="7"/>
      </w:numPr>
      <w:tabs>
        <w:tab w:val="left" w:pos="0"/>
      </w:tabs>
      <w:spacing w:beforeLines="50"/>
      <w:jc w:val="center"/>
    </w:pPr>
    <w:rPr>
      <w:rFonts w:hint="eastAsia" w:ascii="黑体" w:eastAsia="黑体"/>
      <w:kern w:val="0"/>
      <w:szCs w:val="20"/>
    </w:rPr>
  </w:style>
  <w:style w:type="character" w:customStyle="1" w:styleId="54">
    <w:name w:val="标准文件_段 Char"/>
    <w:basedOn w:val="12"/>
    <w:link w:val="55"/>
    <w:qFormat/>
    <w:uiPriority w:val="0"/>
    <w:rPr>
      <w:rFonts w:hint="eastAsia" w:ascii="宋体" w:hAnsi="Times New Roman" w:eastAsia="宋体" w:cs="宋体"/>
      <w:sz w:val="21"/>
    </w:rPr>
  </w:style>
  <w:style w:type="paragraph" w:customStyle="1" w:styleId="55">
    <w:name w:val="标准文件_段"/>
    <w:basedOn w:val="1"/>
    <w:link w:val="54"/>
    <w:qFormat/>
    <w:uiPriority w:val="0"/>
    <w:pPr>
      <w:widowControl/>
      <w:autoSpaceDE w:val="0"/>
      <w:autoSpaceDN w:val="0"/>
      <w:ind w:firstLine="200" w:firstLineChars="200"/>
    </w:pPr>
    <w:rPr>
      <w:rFonts w:hint="eastAsia" w:ascii="宋体"/>
      <w:kern w:val="0"/>
      <w:szCs w:val="20"/>
    </w:rPr>
  </w:style>
  <w:style w:type="paragraph" w:customStyle="1" w:styleId="56">
    <w:name w:val="样式1"/>
    <w:basedOn w:val="1"/>
    <w:qFormat/>
    <w:uiPriority w:val="99"/>
    <w:pPr>
      <w:jc w:val="left"/>
    </w:pPr>
    <w:rPr>
      <w:rFonts w:eastAsia="仿宋_GB2312"/>
      <w:sz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WWW.YlmF.CoM</Company>
  <Pages>9</Pages>
  <Words>4327</Words>
  <Characters>4535</Characters>
  <Lines>28</Lines>
  <Paragraphs>7</Paragraphs>
  <TotalTime>1</TotalTime>
  <ScaleCrop>false</ScaleCrop>
  <LinksUpToDate>false</LinksUpToDate>
  <CharactersWithSpaces>4625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2021-01-20T08:38:00Z</dcterms:created>
  <dc:creator>Microsoft</dc:creator>
  <cp:lastModifiedBy>阿昌</cp:lastModifiedBy>
  <cp:lastPrinted>2021-01-28T03:42:00Z</cp:lastPrinted>
  <dcterms:modified xsi:type="dcterms:W3CDTF">2026-03-12T09:39:30Z</dcterms:modified>
  <dc:title>广西地方标准《脱氢枞酸》（征求意见稿）</dc:title>
  <cp:revision>135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A5F26D5AE74D4BD9864984FE8189E07C</vt:lpwstr>
  </property>
  <property fmtid="{D5CDD505-2E9C-101B-9397-08002B2CF9AE}" pid="4" name="KSOTemplateDocerSaveRecord">
    <vt:lpwstr>eyJoZGlkIjoiN2NjN2E2NDQ1ZGJjOTJhOThlZDlmODI2NGNhNDUzZGQiLCJ1c2VySWQiOiIyNTUxMzUwMTcifQ==</vt:lpwstr>
  </property>
</Properties>
</file>